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df" ContentType="application/pdf"/>
  <Override PartName="/word/media/rId63.tiff" ContentType="image/tiff"/>
  <Override PartName="/word/media/rId67.png" ContentType="image/png"/>
  <Override PartName="/word/media/rId80.pdf" ContentType="application/pdf"/>
  <Override PartName="/word/media/rId75.png" ContentType="image/png"/>
  <Override PartName="/word/media/rId50.pdf" ContentType="application/pdf"/>
  <Override PartName="/word/media/rId54.jpg" ContentType="image/jpe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potential</w:t>
      </w:r>
      <w:r>
        <w:t xml:space="preserve"> </w:t>
      </w:r>
      <w:r>
        <w:t xml:space="preserve">effects</w:t>
      </w:r>
      <w:r>
        <w:t xml:space="preserve"> </w:t>
      </w:r>
      <w:r>
        <w:t xml:space="preserve">of</w:t>
      </w:r>
      <w:r>
        <w:t xml:space="preserve"> </w:t>
      </w:r>
      <w:r>
        <w:t xml:space="preserve">plant</w:t>
      </w:r>
      <w:r>
        <w:t xml:space="preserve"> </w:t>
      </w:r>
      <w:r>
        <w:t xml:space="preserve">apparency</w:t>
      </w:r>
      <w:r>
        <w:t xml:space="preserve"> </w:t>
      </w:r>
      <w:r>
        <w:t xml:space="preserve">on</w:t>
      </w:r>
      <w:r>
        <w:t xml:space="preserve"> </w:t>
      </w:r>
      <w:r>
        <w:t xml:space="preserve">the</w:t>
      </w:r>
      <w:r>
        <w:t xml:space="preserve"> </w:t>
      </w:r>
      <w:r>
        <w:t xml:space="preserve">initial</w:t>
      </w:r>
      <w:r>
        <w:t xml:space="preserve"> </w:t>
      </w:r>
      <w:r>
        <w:t xml:space="preserve">colonization</w:t>
      </w:r>
      <w:r>
        <w:t xml:space="preserve"> </w:t>
      </w:r>
      <w:r>
        <w:t xml:space="preserve">of</w:t>
      </w:r>
      <w:r>
        <w:t xml:space="preserve"> </w:t>
      </w:r>
      <w:r>
        <w:t xml:space="preserve">aphids</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t xml:space="preserve">,</w:t>
      </w:r>
      <w:r>
        <w:t xml:space="preserve"> </w:t>
      </w:r>
      <w:r>
        <w:rPr>
          <w:bCs/>
          <w:b/>
        </w:rPr>
        <w:t xml:space="preserve">Yasuhiro Sato</w:t>
      </w:r>
      <w:r>
        <w:rPr>
          <w:vertAlign w:val="superscript"/>
        </w:rPr>
        <w:t xml:space="preserve">1,2†*</w:t>
      </w:r>
      <w:r>
        <w:t xml:space="preserve">,</w:t>
      </w:r>
      <w:r>
        <w:t xml:space="preserve"> </w:t>
      </w:r>
      <w:r>
        <w:rPr>
          <w:bCs/>
          <w:b/>
        </w:rPr>
        <w:t xml:space="preserve">Misako Yamazaki</w:t>
      </w:r>
      <w:r>
        <w:rPr>
          <w:vertAlign w:val="superscript"/>
        </w:rPr>
        <w:t xml:space="preserve">1</w:t>
      </w:r>
      <w:r>
        <w:t xml:space="preserve">,</w:t>
      </w:r>
      <w:r>
        <w:t xml:space="preserve"> </w:t>
      </w:r>
      <w:r>
        <w:rPr>
          <w:bCs/>
          <w:b/>
        </w:rPr>
        <w:t xml:space="preserve">Marcel Brasser</w:t>
      </w:r>
      <w:r>
        <w:rPr>
          <w:vertAlign w:val="superscript"/>
        </w:rPr>
        <w:t xml:space="preserve">1</w:t>
      </w:r>
      <w:r>
        <w:t xml:space="preserve">,</w:t>
      </w:r>
      <w:r>
        <w:t xml:space="preserve"> </w:t>
      </w:r>
      <w:r>
        <w:rPr>
          <w:bCs/>
          <w:b/>
        </w:rPr>
        <w:t xml:space="preserve">Matthew A. Barbour</w:t>
      </w:r>
      <w:r>
        <w:rPr>
          <w:vertAlign w:val="superscript"/>
        </w:rPr>
        <w:t xml:space="preserve">1,3</w:t>
      </w:r>
      <w:r>
        <w:t xml:space="preserve">,</w:t>
      </w:r>
      <w:r>
        <w:t xml:space="preserve"> </w:t>
      </w:r>
      <w:r>
        <w:rPr>
          <w:bCs/>
          <w:b/>
        </w:rPr>
        <w:t xml:space="preserve">Jordi Bascompte</w:t>
      </w:r>
      <w:r>
        <w:rPr>
          <w:vertAlign w:val="superscript"/>
        </w:rPr>
        <w:t xml:space="preserve">1</w:t>
      </w:r>
      <w:r>
        <w:t xml:space="preserve">,</w:t>
      </w:r>
      <w:r>
        <w:t xml:space="preserve"> </w:t>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Départemente de Biologie, Université de Sherbrooke, 2500 boulevard de l’Université, Sherbrooke, QC, J1K 2R1,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Plant size, height, and other architectural traits, collectively called</w:t>
      </w:r>
      <w:r>
        <w:t xml:space="preserve"> </w:t>
      </w:r>
      <w:r>
        <w:t xml:space="preserve">‘</w:t>
      </w:r>
      <w:r>
        <w:t xml:space="preserve">plant apparency</w:t>
      </w:r>
      <w:r>
        <w:t xml:space="preserve">’</w:t>
      </w:r>
      <w:r>
        <w:t xml:space="preserve">, determine plant’s visibility and consequent probability of being colonized by herbivores.</w:t>
      </w:r>
      <w:r>
        <w:t xml:space="preserve"> </w:t>
      </w:r>
      <w:r>
        <w:t xml:space="preserve">Although plant genes involved in physical and chemical anti-herbivore defense are well studied, less is known about the genetic basis underlying effects of plant apparency on herbivore colonization.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GWAS of aphid abundance detected a rare but significant variant on the third chromosome of</w:t>
      </w:r>
      <w:r>
        <w:t xml:space="preserve"> </w:t>
      </w:r>
      <w:r>
        <w:rPr>
          <w:iCs/>
          <w:i/>
        </w:rPr>
        <w:t xml:space="preserve">A. thaliana</w:t>
      </w:r>
      <w:r>
        <w:t xml:space="preserve">, which was also partly associated with the presence or absence of inflorescence.</w:t>
      </w:r>
      <w:r>
        <w:t xml:space="preserve"> </w:t>
      </w:r>
      <w:r>
        <w:t xml:space="preserve">Out of candidate genes near this significant variant, a mutant of a ribosomal gene (AT3G13882) exhibited slower growth and later flowering than a wild type under laboratory conditions.</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w:t>
      </w:r>
      <w:r>
        <w:t xml:space="preserve"> </w:t>
      </w:r>
      <w:r>
        <w:t xml:space="preserve">These findings suggest that genes relevant to plant apparency might underpin initial aphid colonization in the field.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resistance</w:t>
      </w:r>
      <w:r>
        <w:t xml:space="preserve"> </w:t>
      </w:r>
      <w:r>
        <w:t xml:space="preserve">[1–4]</w:t>
      </w:r>
      <w:r>
        <w:t xml:space="preserve">, plant life-history traits also account for herbivory variation in field environments</w:t>
      </w:r>
      <w:r>
        <w:t xml:space="preserve"> </w:t>
      </w:r>
      <w:r>
        <w:t xml:space="preserve">[5,6]</w:t>
      </w:r>
      <w:r>
        <w:t xml:space="preserve">.</w:t>
      </w:r>
      <w:r>
        <w:t xml:space="preserve"> </w:t>
      </w:r>
      <w:r>
        <w:t xml:space="preserve">For example, plant size, height, and the other architectural traits often shape plants’ visibility for herbivores</w:t>
      </w:r>
      <w:r>
        <w:t xml:space="preserve"> </w:t>
      </w:r>
      <w:r>
        <w:t xml:space="preserve">[7,8]</w:t>
      </w:r>
      <w:r>
        <w:t xml:space="preserve">.</w:t>
      </w:r>
      <w:r>
        <w:t xml:space="preserve"> </w:t>
      </w:r>
      <w:r>
        <w:t xml:space="preserve">These sets of visible traits, collectively called plant apparency</w:t>
      </w:r>
      <w:r>
        <w:t xml:space="preserve"> </w:t>
      </w:r>
      <w:r>
        <w:t xml:space="preserve">[9]</w:t>
      </w:r>
      <w:r>
        <w:t xml:space="preserve">, changes across ontogeny from vegetative to reproductive stage</w:t>
      </w:r>
      <w:r>
        <w:t xml:space="preserve"> </w:t>
      </w:r>
      <w:r>
        <w:t xml:space="preserve">[6]</w:t>
      </w:r>
      <w:r>
        <w:t xml:space="preserve"> </w:t>
      </w:r>
      <w:r>
        <w:t xml:space="preserve">and thereby affect the probability of being harbored by herbivores</w:t>
      </w:r>
      <w:r>
        <w:t xml:space="preserve"> </w:t>
      </w:r>
      <w:r>
        <w:t xml:space="preserve">[10,11]</w:t>
      </w:r>
      <w:r>
        <w:t xml:space="preserve">.</w:t>
      </w:r>
      <w:r>
        <w:t xml:space="preserve"> </w:t>
      </w:r>
      <w:r>
        <w:t xml:space="preserve">By focusing on genetic variation within a plant species, several studies have shown that plant architectural traits shape heritable variation in herbivore abundance and community composition</w:t>
      </w:r>
      <w:r>
        <w:t xml:space="preserve"> </w:t>
      </w:r>
      <w:r>
        <w:t xml:space="preserve">[4,12,13]</w:t>
      </w:r>
      <w:r>
        <w:t xml:space="preserve">.</w:t>
      </w:r>
      <w:r>
        <w:t xml:space="preserve"> </w:t>
      </w:r>
      <w:r>
        <w:t xml:space="preserve">Yet, less is known about the underlying genetic basis of the plant apparency on herbivore colonization.</w:t>
      </w:r>
    </w:p>
    <w:p>
      <w:pPr>
        <w:pStyle w:val="BodyText"/>
      </w:pPr>
      <w:r>
        <w:t xml:space="preserve">Genome-wide association study (GWAS) is an effective way to dissect the genetic architecture of ecologically important traits</w:t>
      </w:r>
      <w:r>
        <w:t xml:space="preserve"> </w:t>
      </w:r>
      <w:r>
        <w:t xml:space="preserve">[14,15]</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[16,17]</w:t>
      </w:r>
      <w:r>
        <w:t xml:space="preserve">.</w:t>
      </w:r>
      <w:r>
        <w:t xml:space="preserve"> </w:t>
      </w:r>
      <w:r>
        <w:t xml:space="preserve">Recent studies showed that controlled laboratory conditions are unlikely to reflect outdoor environments where interspecific interactions typically occur</w:t>
      </w:r>
      <w:r>
        <w:t xml:space="preserve"> </w:t>
      </w:r>
      <w:r>
        <w:t xml:space="preserve">[18,19]</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[20–24]</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[24–26]</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[4,27]</w:t>
      </w:r>
      <w:r>
        <w:t xml:space="preserve">.</w:t>
      </w:r>
      <w:r>
        <w:t xml:space="preserve"> </w:t>
      </w:r>
      <w:r>
        <w:t xml:space="preserve">Of the diverse insect herbivores, aphids are known to be major herbivores occurring across the natural distribution range of</w:t>
      </w:r>
      <w:r>
        <w:t xml:space="preserve"> </w:t>
      </w:r>
      <w:r>
        <w:rPr>
          <w:iCs/>
          <w:i/>
        </w:rPr>
        <w:t xml:space="preserve">A. thaliana</w:t>
      </w:r>
      <w:r>
        <w:t xml:space="preserve"> </w:t>
      </w:r>
      <w:r>
        <w:t xml:space="preserve">[28]</w:t>
      </w:r>
      <w:r>
        <w:t xml:space="preserve">.</w:t>
      </w:r>
      <w:r>
        <w:t xml:space="preserve"> </w:t>
      </w:r>
      <w:r>
        <w:t xml:space="preserve">Because aphids often suck phloem sap from leaf veins and inflorescences, we hypothesized that plant apparency may play a key role in harboring aphids under field conditions.</w:t>
      </w:r>
    </w:p>
    <w:p>
      <w:pPr>
        <w:pStyle w:val="BodyText"/>
      </w:pPr>
      <w:r>
        <w:t xml:space="preserve">To reveal the genetic architecture of aphid abundance,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8" w:name="materials-methods"/>
    <w:p>
      <w:pPr>
        <w:pStyle w:val="Heading1"/>
      </w:pPr>
      <w:r>
        <w:t xml:space="preserve">Materials &amp; Methods</w:t>
      </w:r>
    </w:p>
    <w:bookmarkStart w:id="32"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accessions</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[29]</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[30]</w:t>
      </w:r>
      <w:r>
        <w:t xml:space="preserve"> </w:t>
      </w:r>
      <w:r>
        <w:t xml:space="preserve">and 1001 Genomes</w:t>
      </w:r>
      <w:r>
        <w:t xml:space="preserve"> </w:t>
      </w:r>
      <w:r>
        <w:t xml:space="preserve">[31]</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identified and counted by a single observer (Y. Sato) every two or three days.</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were identified based on the presence or absence of waxy compounds on their abdomen.</w:t>
      </w:r>
      <w:r>
        <w:t xml:space="preserve"> </w:t>
      </w:r>
      <w:r>
        <w:t xml:space="preserve">These two species can be distinguished from the generalist aphid</w:t>
      </w:r>
      <w:r>
        <w:t xml:space="preserve"> </w:t>
      </w:r>
      <w:r>
        <w:rPr>
          <w:iCs/>
          <w:i/>
        </w:rPr>
        <w:t xml:space="preserve">Myzus persicae</w:t>
      </w:r>
      <w:r>
        <w:t xml:space="preserve"> </w:t>
      </w:r>
      <w:r>
        <w:t xml:space="preserve">based on the length of cornicules, though</w:t>
      </w:r>
      <w:r>
        <w:t xml:space="preserve"> </w:t>
      </w:r>
      <w:r>
        <w:rPr>
          <w:iCs/>
          <w:i/>
        </w:rPr>
        <w:t xml:space="preserve">M. persicae</w:t>
      </w:r>
      <w:r>
        <w:t xml:space="preserve"> </w:t>
      </w:r>
      <w:r>
        <w:t xml:space="preserve">did not occur during the present field experiment.</w:t>
      </w:r>
      <w:r>
        <w:t xml:space="preserve"> </w:t>
      </w:r>
      <w:r>
        <w:t xml:space="preserve">To examine whether the aphid abundance differed between plants with and without inflorescence, we also recorded the presence or absence of bolting two weeks after the start of field experiment.</w:t>
      </w:r>
      <w:r>
        <w:t xml:space="preserve"> </w:t>
      </w:r>
      <w:r>
        <w:t xml:space="preserve">The field experiment lasted three weeks after transplanting until early-flowering accessions of</w:t>
      </w:r>
      <w:r>
        <w:t xml:space="preserve"> </w:t>
      </w:r>
      <w:r>
        <w:rPr>
          <w:iCs/>
          <w:i/>
        </w:rPr>
        <w:t xml:space="preserve">A. thaliana</w:t>
      </w:r>
      <w:r>
        <w:t xml:space="preserve"> </w:t>
      </w:r>
      <w:r>
        <w:t xml:space="preserve">started terminating their life.</w:t>
      </w:r>
      <w:r>
        <w:t xml:space="preserve"> </w:t>
      </w:r>
      <w:r>
        <w:t xml:space="preserve">Since 38% of plants initiated bolting in the field (see Results), longer experiments were hard due to the short life-cycle of flowered</w:t>
      </w:r>
      <w:r>
        <w:t xml:space="preserve"> </w:t>
      </w:r>
      <w:r>
        <w:rPr>
          <w:iCs/>
          <w:i/>
        </w:rPr>
        <w:t xml:space="preserve">A. thaliana</w:t>
      </w:r>
      <w:r>
        <w:t xml:space="preserve">.</w:t>
      </w:r>
    </w:p>
    <w:bookmarkEnd w:id="26"/>
    <w:bookmarkStart w:id="31"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[32]</w:t>
      </w:r>
      <w:r>
        <w:t xml:space="preserve">.</w:t>
      </w:r>
      <w:r>
        <w:t xml:space="preserve"> </w:t>
      </w:r>
      <w:r>
        <w:t xml:space="preserve">The imputed full-sequence dataset</w:t>
      </w:r>
      <w:r>
        <w:t xml:space="preserve"> </w:t>
      </w:r>
      <w:r>
        <w:t xml:space="preserve">[32]</w:t>
      </w:r>
      <w:r>
        <w:t xml:space="preserve"> </w:t>
      </w:r>
      <w:r>
        <w:t xml:space="preserve">was used as SNP data for the 196 accessions, which provided combined SNP data imputed between 250k SNP chip genotyping by the RegMap project</w:t>
      </w:r>
      <w:r>
        <w:t xml:space="preserve"> </w:t>
      </w:r>
      <w:r>
        <w:t xml:space="preserve">[33]</w:t>
      </w:r>
      <w:r>
        <w:t xml:space="preserve"> </w:t>
      </w:r>
      <w:r>
        <w:t xml:space="preserve">and high-throughput sequencing by the 1001 Genome Project</w:t>
      </w:r>
      <w:r>
        <w:t xml:space="preserve"> </w:t>
      </w:r>
      <w:r>
        <w:t xml:space="preserve">[34]</w:t>
      </w:r>
      <w:r>
        <w:t xml:space="preserve">.</w:t>
      </w:r>
      <w:r>
        <w:t xml:space="preserve"> </w:t>
      </w:r>
      <w:r>
        <w:t xml:space="preserve">Pseudo-heritability</w:t>
      </w:r>
      <w:r>
        <w:t xml:space="preserve"> </w:t>
      </w:r>
      <m:oMath>
        <m:sSup>
          <m:e>
            <m:r>
              <m:t>h</m:t>
            </m:r>
          </m:e>
          <m:sup>
            <m:r>
              <m:t>2</m:t>
            </m:r>
          </m:sup>
        </m:sSup>
      </m:oMath>
      <w:r>
        <w:t xml:space="preserve"> </w:t>
      </w:r>
      <w:r>
        <w:t xml:space="preserve">[32]</w:t>
      </w:r>
      <w:r>
        <w:t xml:space="preserve"> </w:t>
      </w:r>
      <w:r>
        <w:t xml:space="preserve">was calculated for the target phenotype before association mapping.</w:t>
      </w:r>
      <w:r>
        <w:t xml:space="preserve"> </w:t>
      </w:r>
      <w:r>
        <w:t xml:space="preserve">Accelerated mixed models</w:t>
      </w:r>
      <w:r>
        <w:t xml:space="preserve"> </w:t>
      </w:r>
      <w:r>
        <w:t xml:space="preserve">[32]</w:t>
      </w:r>
      <w:r>
        <w:t xml:space="preserve"> </w:t>
      </w:r>
      <w:r>
        <w:t xml:space="preserve">were used for association mapping with a correction of kinship structure.</w:t>
      </w:r>
      <w:r>
        <w:t xml:space="preserve"> </w:t>
      </w:r>
      <w:r>
        <w:t xml:space="preserve">After the association mapping, candidate genes were searched within ca. 5 kb near a focal SNP.</w:t>
      </w:r>
      <w:r>
        <w:t xml:space="preserve"> </w:t>
      </w:r>
      <w:r>
        <w:t xml:space="preserve">Genome sequences of natural accessions were checked using the 1001 genome browser (</w:t>
      </w:r>
      <w:hyperlink r:id="rId28">
        <w:r>
          <w:rPr>
            <w:rStyle w:val="Hyperlink"/>
          </w:rPr>
          <w:t xml:space="preserve">http://signal.salk.edu/atg1001/3.0/gebrowser.php</w:t>
        </w:r>
      </w:hyperlink>
      <w:r>
        <w:t xml:space="preserve">).</w:t>
      </w:r>
      <w:r>
        <w:t xml:space="preserve"> </w:t>
      </w:r>
      <w:r>
        <w:t xml:space="preserve">To inspect organ-specific expression levels of candidate genes, we referred to Klepikova Arabidopsis Atlas</w:t>
      </w:r>
      <w:r>
        <w:t xml:space="preserve"> </w:t>
      </w:r>
      <w:r>
        <w:t xml:space="preserve">[35]</w:t>
      </w:r>
      <w:r>
        <w:t xml:space="preserve"> </w:t>
      </w:r>
      <w:r>
        <w:t xml:space="preserve">via The Arabidopsis Information Resource (</w:t>
      </w:r>
      <w:hyperlink r:id="rId29">
        <w:r>
          <w:rPr>
            <w:rStyle w:val="Hyperlink"/>
          </w:rPr>
          <w:t xml:space="preserve">https://www.arabidopsis.org/</w:t>
        </w:r>
      </w:hyperlink>
      <w:r>
        <w:t xml:space="preserve">).</w:t>
      </w:r>
      <w:r>
        <w:t xml:space="preserve"> </w:t>
      </w:r>
      <w:r>
        <w:t xml:space="preserve">The GWAS HitMap of AraGWAS Catalog (</w:t>
      </w:r>
      <w:hyperlink r:id="rId30">
        <w:r>
          <w:rPr>
            <w:rStyle w:val="Hyperlink"/>
          </w:rPr>
          <w:t xml:space="preserve">https://aragwas.1001genomes.org/#/map</w:t>
        </w:r>
      </w:hyperlink>
      <w:r>
        <w:t xml:space="preserve">)</w:t>
      </w:r>
      <w:r>
        <w:t xml:space="preserve"> </w:t>
      </w:r>
      <w:r>
        <w:t xml:space="preserve">[36]</w:t>
      </w:r>
      <w:r>
        <w:t xml:space="preserve"> </w:t>
      </w:r>
      <w:r>
        <w:t xml:space="preserve">was also referred to inspect whether the top-scoring SNP was associated with other reported traits.</w:t>
      </w:r>
    </w:p>
    <w:p>
      <w:pPr>
        <w:pStyle w:val="BodyText"/>
      </w:pPr>
      <w:r>
        <w:t xml:space="preserve">We analyzed aphid abundance as well as additional two traits as the target phenotype in the GWA-portal.</w:t>
      </w:r>
      <w:r>
        <w:t xml:space="preserve"> </w:t>
      </w:r>
      <w:r>
        <w:t xml:space="preserve">The aphid abundance was quantified 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This number of aphids was then ln(</w:t>
      </w:r>
      <m:oMath>
        <m:r>
          <m:t>x</m:t>
        </m:r>
        <m:r>
          <m:rPr>
            <m:sty m:val="p"/>
          </m:rPr>
          <m:t>+</m:t>
        </m:r>
        <m:r>
          <m:t>1</m:t>
        </m:r>
      </m:oMath>
      <w:r>
        <w:t xml:space="preserve">)-transformed to improve normality.</w:t>
      </w:r>
      <w:r>
        <w:t xml:space="preserve"> </w:t>
      </w:r>
      <w:r>
        <w:t xml:space="preserve">We also analyzed the presence (1) or absence (0) of bolting as a representative trait of flowering to examine its overlap with the top-scoring SNP of the aphid abundance.</w:t>
      </w:r>
      <w:r>
        <w:t xml:space="preserve"> </w:t>
      </w:r>
      <w:r>
        <w:t xml:space="preserve">To quantify the extent to which the exclusion of the bolting effects weakened the top-scoring SNPs of the aphid abundance, we further performed GWAS using residuals of the aphid abundance as a target trait.</w:t>
      </w:r>
      <w:r>
        <w:t xml:space="preserve"> </w:t>
      </w:r>
      <w:r>
        <w:t xml:space="preserve">These residuals were obtained by regressing the aphid abundance on the presence (1) or absence (0) of bolting using a standard linear model.</w:t>
      </w:r>
    </w:p>
    <w:bookmarkEnd w:id="31"/>
    <w:bookmarkEnd w:id="32"/>
    <w:bookmarkStart w:id="37" w:name="mutant-analysis"/>
    <w:p>
      <w:pPr>
        <w:pStyle w:val="Heading2"/>
      </w:pPr>
      <w:r>
        <w:t xml:space="preserve">Mutant analysis</w:t>
      </w:r>
    </w:p>
    <w:bookmarkStart w:id="34"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3">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p>
    <w:p>
      <w:pPr>
        <w:pStyle w:val="BodyText"/>
      </w:pPr>
      <w:r>
        <w:t xml:space="preserve">Following the instruction</w:t>
      </w:r>
      <w:r>
        <w:t xml:space="preserve"> </w:t>
      </w:r>
      <w:r>
        <w:t xml:space="preserve">[37]</w:t>
      </w:r>
      <w:r>
        <w:t xml:space="preserve">, we examined the insertion site by polymerase chain reaction (PCR) amplification and Sanger sequencing; and gene expression levels by Semi-quantitative reverse transcription and PCR (sqRT-PCR).</w:t>
      </w:r>
      <w:r>
        <w:t xml:space="preserve"> </w:t>
      </w:r>
      <w:r>
        <w:t xml:space="preserve">To confirm the T-DNA insertion site of SALK_039481, we extracted DNA from leaves using the CTAB method.</w:t>
      </w:r>
      <w:r>
        <w:t xml:space="preserve"> </w:t>
      </w:r>
      <w:r>
        <w:t xml:space="preserve">Using the primers shown in Table S2 and S3,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w:t>
      </w:r>
      <w:r>
        <w:t xml:space="preserve"> </w:t>
      </w:r>
      <w:r>
        <w:t xml:space="preserve">The PCR product was finally sequenced by Sanger sequencing to confirm the insertion site.</w:t>
      </w:r>
    </w:p>
    <w:p>
      <w:pPr>
        <w:pStyle w:val="BodyText"/>
      </w:pPr>
      <w:r>
        <w:t xml:space="preserve">To perform sqRT-PCR, we extracted the RNA from leaves using RNeasy kit (Qiagen: Catalogue Number: 74181) and purified the RNA with DNA-free kit (Ambion: Cat. No. AM1906).</w:t>
      </w:r>
      <w:r>
        <w:t xml:space="preserve"> </w:t>
      </w:r>
      <w:r>
        <w:t xml:space="preserve">RNA concentration was measured by Qubit spectrophotometer (Invitrogen: Cat. No. Q10211).</w:t>
      </w:r>
      <w:r>
        <w:t xml:space="preserve"> </w:t>
      </w:r>
      <w:r>
        <w:t xml:space="preserve">Then we obtained the cDNA using High-Capacity RNA-to-cDNA kit (Applied Biosystems: Cat. No. 4387406) from 500 ng of the total RNA.</w:t>
      </w:r>
      <w:r>
        <w:t xml:space="preserve"> </w:t>
      </w:r>
      <w:r>
        <w:t xml:space="preserve">Using the primers shown in Table S3 and S4, we amplified cDNA with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w:t>
      </w:r>
      <w:r>
        <w:t xml:space="preserve"> </w:t>
      </w:r>
      <w:r>
        <w:t xml:space="preserve">A gel electrophoresis was performed using a 1% agarose with 120 V for 60 min. The PCR products were finally visualized an UV trans-illuminator system.</w:t>
      </w:r>
    </w:p>
    <w:p>
      <w:pPr>
        <w:pStyle w:val="BodyText"/>
      </w:pP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In the other three lines, the insertion was not found or low germination rate prevented further experiments.</w:t>
      </w:r>
    </w:p>
    <w:bookmarkEnd w:id="34"/>
    <w:bookmarkStart w:id="35"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[38]</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5"/>
    <w:bookmarkStart w:id="36"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 analysis of deviance with a</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To examine the effects of the plant size and flowering time on the number of aphids, we also performed the same GLMM analysis with the plant size or flowering time included as a log-offset term.</w:t>
      </w:r>
      <w:r>
        <w:t xml:space="preserve"> </w:t>
      </w:r>
      <w:r>
        <w:t xml:space="preserve">All statistical analyses were performed using R version 4.0.3</w:t>
      </w:r>
      <w:r>
        <w:t xml:space="preserve"> </w:t>
      </w:r>
      <w:r>
        <w:t xml:space="preserve">[39]</w:t>
      </w:r>
      <w:r>
        <w:t xml:space="preserve">.</w:t>
      </w:r>
      <w:r>
        <w:t xml:space="preserve"> </w:t>
      </w:r>
      <w:r>
        <w:t xml:space="preserve">For LMM and GLMM, we used the lmer and glmer function implemented in the lme4 package</w:t>
      </w:r>
      <w:r>
        <w:t xml:space="preserve"> </w:t>
      </w:r>
      <w:r>
        <w:t xml:space="preserve">[40]</w:t>
      </w:r>
      <w:r>
        <w:t xml:space="preserve">.</w:t>
      </w:r>
    </w:p>
    <w:bookmarkEnd w:id="36"/>
    <w:bookmarkEnd w:id="37"/>
    <w:bookmarkEnd w:id="38"/>
    <w:bookmarkStart w:id="41" w:name="results"/>
    <w:p>
      <w:pPr>
        <w:pStyle w:val="Heading1"/>
      </w:pPr>
      <w:r>
        <w:t xml:space="preserve">Results</w:t>
      </w:r>
    </w:p>
    <w:bookmarkStart w:id="39"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 in Zurich within a native distribution range of</w:t>
      </w:r>
      <w:r>
        <w:t xml:space="preserve"> </w:t>
      </w:r>
      <w:r>
        <w:rPr>
          <w:iCs/>
          <w:i/>
        </w:rPr>
        <w:t xml:space="preserve">A. thaliana</w:t>
      </w:r>
      <w:r>
        <w:t xml:space="preserve">.</w:t>
      </w:r>
      <w:r>
        <w:t xml:space="preserve"> </w:t>
      </w:r>
      <w:r>
        <w:t xml:space="preserve">At the transplantation, all plants were at the rosette stage, i.e., no bolting occurred.</w:t>
      </w:r>
      <w:r>
        <w:t xml:space="preserve"> </w:t>
      </w:r>
      <w:r>
        <w:t xml:space="preserve">After two weeks, 38% of individual plants initiated bolting, i.e., inflorescence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inflorescence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b; see also Fig.</w:t>
      </w:r>
      <w:r>
        <w:t xml:space="preserve"> </w:t>
      </w:r>
      <w:hyperlink w:anchor="fig:qqplot">
        <w:r>
          <w:rPr>
            <w:rStyle w:val="Hyperlink"/>
          </w:rPr>
          <w:t xml:space="preserve">S4</w:t>
        </w:r>
      </w:hyperlink>
      <w:r>
        <w:t xml:space="preserve">a for quantile-quantile plots).</w:t>
      </w:r>
      <w:r>
        <w:t xml:space="preserve"> </w:t>
      </w:r>
      <w:r>
        <w:t xml:space="preserve">This top-scoring SNP was also associated with the bolting to non-significant but strong extent (-log</w:t>
      </w:r>
      <w:r>
        <w:rPr>
          <w:vertAlign w:val="subscript"/>
        </w:rPr>
        <w:t xml:space="preserve">10</w:t>
      </w:r>
      <w:r>
        <w:t xml:space="preserve">(</w:t>
      </w:r>
      <m:oMath>
        <m:r>
          <m:t>p</m:t>
        </m:r>
      </m:oMath>
      <w:r>
        <w:t xml:space="preserve">)=5.26; Fig.</w:t>
      </w:r>
      <w:r>
        <w:t xml:space="preserve"> </w:t>
      </w:r>
      <w:hyperlink w:anchor="fig:ManPlot">
        <w:r>
          <w:rPr>
            <w:rStyle w:val="Hyperlink"/>
          </w:rPr>
          <w:t xml:space="preserve">1</w:t>
        </w:r>
      </w:hyperlink>
      <w:r>
        <w:t xml:space="preserve">c; Fig.</w:t>
      </w:r>
      <w:r>
        <w:t xml:space="preserve"> </w:t>
      </w:r>
      <w:hyperlink w:anchor="fig:qqplot">
        <w:r>
          <w:rPr>
            <w:rStyle w:val="Hyperlink"/>
          </w:rPr>
          <w:t xml:space="preserve">S4</w:t>
        </w:r>
      </w:hyperlink>
      <w:r>
        <w:t xml:space="preserve">b).</w:t>
      </w:r>
      <w:r>
        <w:t xml:space="preserve"> </w:t>
      </w:r>
      <w:r>
        <w:t xml:space="preserve">Our GWAS of the bolting was comparable with GWAS of flowering time, because we found the same broad peak on the top of the fourth chromosome as reported by previous GWAS of flowering time</w:t>
      </w:r>
      <w:r>
        <w:t xml:space="preserve"> </w:t>
      </w:r>
      <w:r>
        <w:t xml:space="preserve">[41]</w:t>
      </w:r>
      <w:r>
        <w:t xml:space="preserve">.</w:t>
      </w:r>
      <w:r>
        <w:t xml:space="preserve"> </w:t>
      </w:r>
      <w:r>
        <w:t xml:space="preserve">The significance of Chr3-4579292 became weaker but remained at -log</w:t>
      </w:r>
      <w:r>
        <w:rPr>
          <w:vertAlign w:val="subscript"/>
        </w:rPr>
        <w:t xml:space="preserve">10</w:t>
      </w:r>
      <w:r>
        <w:t xml:space="preserve">(</w:t>
      </w:r>
      <m:oMath>
        <m:r>
          <m:t>p</m:t>
        </m:r>
      </m:oMath>
      <w:r>
        <w:t xml:space="preserve">)=6.40 when we adjusted the effects of bolting on aphid abundance (Fig.</w:t>
      </w:r>
      <w:r>
        <w:t xml:space="preserve"> </w:t>
      </w:r>
      <w:hyperlink w:anchor="fig:ManPlot">
        <w:r>
          <w:rPr>
            <w:rStyle w:val="Hyperlink"/>
          </w:rPr>
          <w:t xml:space="preserve">1</w:t>
        </w:r>
      </w:hyperlink>
      <w:r>
        <w:t xml:space="preserve">d; Fig.</w:t>
      </w:r>
      <w:r>
        <w:t xml:space="preserve"> </w:t>
      </w:r>
      <w:hyperlink w:anchor="fig:qqplot">
        <w:r>
          <w:rPr>
            <w:rStyle w:val="Hyperlink"/>
          </w:rPr>
          <w:t xml:space="preserve">S4</w:t>
        </w:r>
      </w:hyperlink>
      <w:r>
        <w:t xml:space="preserve">c), indicating the partial contribution of the bolting to shaping the significant association between Chr3-4579292 SNP and aphid abundance.</w:t>
      </w:r>
      <w:r>
        <w:t xml:space="preserve"> </w:t>
      </w:r>
      <w:r>
        <w:t xml:space="preserve">According to the SNP viewer of the GWA-portal</w:t>
      </w:r>
      <w:r>
        <w:t xml:space="preserve"> </w:t>
      </w:r>
      <w:r>
        <w:t xml:space="preserve">[32]</w:t>
      </w:r>
      <w:r>
        <w:t xml:space="preserve">, the number of major and rare alleles was 1956 and 73 at Chr3-4579292 among all the 2029 accessions registered in the portal site, where the rare alleles were sporadically distributed among countries.</w:t>
      </w:r>
      <w:r>
        <w:t xml:space="preserve"> </w:t>
      </w:r>
      <w:r>
        <w:t xml:space="preserve">We did not find any other significant GWAS hits to Chr3-4579292 in GWAS HitMap database</w:t>
      </w:r>
      <w:r>
        <w:t xml:space="preserve"> </w:t>
      </w:r>
      <w:r>
        <w:t xml:space="preserve">[36]</w:t>
      </w:r>
      <w:r>
        <w:t xml:space="preserve"> </w:t>
      </w:r>
      <w:r>
        <w:t xml:space="preserve">possibly because this rare variant might have been overlooked so far.</w:t>
      </w:r>
      <w:r>
        <w:t xml:space="preserve"> </w:t>
      </w:r>
      <w:r>
        <w:t xml:space="preserve">The line of GWAS analyses suggests that the SNP at Chr3-4579292 was significantly associated with aphid abundance through its potential influence on flowering.</w:t>
      </w:r>
    </w:p>
    <w:p>
      <w:pPr>
        <w:pStyle w:val="BodyText"/>
      </w:pPr>
      <w:r>
        <w:t xml:space="preserve">To narrow down candidate genes, we further focused on genomic region near the significant SNP at Chr3-4579292.</w:t>
      </w:r>
      <w:r>
        <w:t xml:space="preserve"> </w:t>
      </w:r>
      <w:r>
        <w:t xml:space="preserve">Five out of the 196 accessions carried a rare allele increasing aphid abundance, while the other accessions have major alleles (Fig.</w:t>
      </w:r>
      <w:r>
        <w:t xml:space="preserve"> </w:t>
      </w:r>
      <w:hyperlink w:anchor="fig:database">
        <w:r>
          <w:rPr>
            <w:rStyle w:val="Hyperlink"/>
          </w:rPr>
          <w:t xml:space="preserve">S5</w:t>
        </w:r>
      </w:hyperlink>
      <w:r>
        <w:t xml:space="preserve">a).</w:t>
      </w:r>
      <w:r>
        <w:t xml:space="preserve"> </w:t>
      </w:r>
      <w:r>
        <w:t xml:space="preserve">Genome sequences of four of the five rare accessions are available in the 1001 Genome Project</w:t>
      </w:r>
      <w:r>
        <w:t xml:space="preserve"> </w:t>
      </w:r>
      <w:r>
        <w:t xml:space="preserve">[34]</w:t>
      </w:r>
      <w:r>
        <w:t xml:space="preserve">, where three of the four available accessions i.e., An-1, Kin-0, and Lm-2 shared similar patterns near Chr3-4579292 but differed from major accessions (Fig.</w:t>
      </w:r>
      <w:r>
        <w:t xml:space="preserve"> </w:t>
      </w:r>
      <w:hyperlink w:anchor="fig:database">
        <w:r>
          <w:rPr>
            <w:rStyle w:val="Hyperlink"/>
          </w:rPr>
          <w:t xml:space="preserve">S5</w:t>
        </w:r>
      </w:hyperlink>
      <w:r>
        <w:t xml:space="preserve">b).</w:t>
      </w:r>
      <w:r>
        <w:t xml:space="preserve"> </w:t>
      </w:r>
      <w:r>
        <w:t xml:space="preserve">This additional evidence suggested that the association between the aphid abundance and rare alleles at Chr3-4579292 was not totally random.</w:t>
      </w:r>
      <w:r>
        <w:t xml:space="preserve"> </w:t>
      </w:r>
      <w:r>
        <w:t xml:space="preserve">Three candidate genes were located nearest to this SNP at Chr3-4579292 (Fig.</w:t>
      </w:r>
      <w:r>
        <w:t xml:space="preserve"> </w:t>
      </w:r>
      <w:hyperlink w:anchor="fig:ManPlot">
        <w:r>
          <w:rPr>
            <w:rStyle w:val="Hyperlink"/>
          </w:rPr>
          <w:t xml:space="preserve">1</w:t>
        </w:r>
      </w:hyperlink>
      <w:r>
        <w:t xml:space="preserve">a), encompassing a putative ribosomal gene (AT3G13882) that is homologous to a ribosome protein L34 gene (RPL34)</w:t>
      </w:r>
      <w:r>
        <w:t xml:space="preserve"> </w:t>
      </w:r>
      <w:r>
        <w:t xml:space="preserve">[42]</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[35]</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[35]</w:t>
      </w:r>
      <w:r>
        <w:t xml:space="preserve">.</w:t>
      </w:r>
      <w:r>
        <w:t xml:space="preserve"> </w:t>
      </w:r>
      <w:r>
        <w:t xml:space="preserve">Because aphids were unlikely to suck saps from anthers and pistils, we focused on the ribosomal gene (AT3G13882) for further investigation.</w:t>
      </w:r>
    </w:p>
    <w:bookmarkEnd w:id="39"/>
    <w:bookmarkStart w:id="40"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 and 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 and 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a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S6</w:t>
        </w:r>
      </w:hyperlink>
      <w:r>
        <w:t xml:space="preserve"> </w:t>
      </w:r>
      <w:r>
        <w:t xml:space="preserve">for results at 10 and 14 days; Table S5), suggesting that the delayed growth of the host negatively affected aphid colony establishment.</w:t>
      </w:r>
      <w:r>
        <w:t xml:space="preserve"> </w:t>
      </w:r>
      <w:r>
        <w:t xml:space="preserve">We also incorporated the plant size or flowering time as an offset term in GLMMs to examine their confounding influence on aphid abundance.</w:t>
      </w:r>
      <w:r>
        <w:t xml:space="preserve"> </w:t>
      </w:r>
      <w:r>
        <w:t xml:space="preserve">When the plant size was offset, the number of aphids less significantly differed between the wild type and mutant (</w:t>
      </w:r>
      <m:oMath>
        <m:sSub>
          <m:e>
            <m:r>
              <m:t>F</m:t>
            </m:r>
          </m:e>
          <m:sub>
            <m:r>
              <m:t>1</m:t>
            </m:r>
            <m:r>
              <m:rPr>
                <m:sty m:val="p"/>
              </m:rPr>
              <m:t>,</m:t>
            </m:r>
            <m:r>
              <m:t>9</m:t>
            </m:r>
          </m:sub>
        </m:sSub>
        <m:r>
          <m:rPr>
            <m:sty m:val="p"/>
          </m:rPr>
          <m:t>=</m:t>
        </m:r>
        <m:r>
          <m:t>6.9</m:t>
        </m:r>
        <m:r>
          <m:rPr>
            <m:sty m:val="p"/>
          </m:rPr>
          <m:t>,</m:t>
        </m:r>
        <m:r>
          <m:t>p</m:t>
        </m:r>
        <m:r>
          <m:rPr>
            <m:sty m:val="p"/>
          </m:rPr>
          <m:t>=</m:t>
        </m:r>
        <m:r>
          <m:t>0.027</m:t>
        </m:r>
      </m:oMath>
      <w:r>
        <w:t xml:space="preserve"> </w:t>
      </w:r>
      <w:r>
        <w:t xml:space="preserve">at 7 days: see also Table S5).</w:t>
      </w:r>
      <w:r>
        <w:t xml:space="preserve"> </w:t>
      </w:r>
      <w:r>
        <w:t xml:space="preserve">When the flowering time was offset, the number of aphids more significantly differed between the wild type and mutant (</w:t>
      </w:r>
      <m:oMath>
        <m:sSub>
          <m:e>
            <m:r>
              <m:t>F</m:t>
            </m:r>
          </m:e>
          <m:sub>
            <m:r>
              <m:t>1</m:t>
            </m:r>
            <m:r>
              <m:rPr>
                <m:sty m:val="p"/>
              </m:rPr>
              <m:t>,</m:t>
            </m:r>
            <m:r>
              <m:t>9</m:t>
            </m:r>
          </m:sub>
        </m:sSub>
        <m:r>
          <m:rPr>
            <m:sty m:val="p"/>
          </m:rPr>
          <m:t>=</m:t>
        </m:r>
        <m:r>
          <m:t>40.78</m:t>
        </m:r>
        <m:r>
          <m:rPr>
            <m:sty m:val="p"/>
          </m:rPr>
          <m:t>,</m:t>
        </m:r>
        <m:r>
          <m:t>p</m:t>
        </m:r>
        <m:r>
          <m:rPr>
            <m:sty m:val="p"/>
          </m:rPr>
          <m:t>&lt;</m:t>
        </m:r>
        <m:r>
          <m:t>0.001</m:t>
        </m:r>
      </m:oMath>
      <w:r>
        <w:t xml:space="preserve"> </w:t>
      </w:r>
      <w:r>
        <w:t xml:space="preserve">at 7 days: see also Table S5).</w:t>
      </w:r>
      <w:r>
        <w:t xml:space="preserve"> </w:t>
      </w:r>
      <w:r>
        <w:t xml:space="preserve">These additional analyses indicated that delayed growth rather than delayed flowering contributed more to the unsuccessful establishment of aphid colony, though these two phenotypes were highly corrected each other (Pearson’s correction coefficient,</w:t>
      </w:r>
      <w:r>
        <w:t xml:space="preserve"> </w:t>
      </w:r>
      <m:oMath>
        <m:r>
          <m:t>r</m:t>
        </m:r>
        <m:r>
          <m:rPr>
            <m:sty m:val="p"/>
          </m:rPr>
          <m:t>=</m:t>
        </m:r>
        <m:r>
          <m:rPr>
            <m:sty m:val="p"/>
          </m:rPr>
          <m:t>−</m:t>
        </m:r>
        <m:r>
          <m:t>0.913</m:t>
        </m:r>
        <m:r>
          <m:rPr>
            <m:sty m:val="p"/>
          </m:rPr>
          <m:t>,</m:t>
        </m:r>
        <m:r>
          <m:t>p</m:t>
        </m:r>
        <m:r>
          <m:rPr>
            <m:sty m:val="p"/>
          </m:rPr>
          <m:t>&lt;</m:t>
        </m:r>
        <m:sSup>
          <m:e>
            <m:r>
              <m:t>10</m:t>
            </m:r>
          </m:e>
          <m:sup>
            <m:r>
              <m:rPr>
                <m:sty m:val="p"/>
              </m:rPr>
              <m:t>−</m:t>
            </m:r>
            <m:r>
              <m:t>7</m:t>
            </m:r>
          </m:sup>
        </m:sSup>
      </m:oMath>
      <w:r>
        <w:t xml:space="preserve">).</w:t>
      </w:r>
    </w:p>
    <w:bookmarkEnd w:id="40"/>
    <w:bookmarkEnd w:id="41"/>
    <w:bookmarkStart w:id="42" w:name="discussion"/>
    <w:p>
      <w:pPr>
        <w:pStyle w:val="Heading1"/>
      </w:pPr>
      <w:r>
        <w:t xml:space="preserve">Discussion</w:t>
      </w:r>
    </w:p>
    <w:p>
      <w:pPr>
        <w:pStyle w:val="FirstParagraph"/>
      </w:pPr>
      <w:r>
        <w:t xml:space="preserve">Guided by the field GWAS of aphid abundance, we discovered a mutant plant that exhibited slower growth and thereby harbored fewer aphids in</w:t>
      </w:r>
      <w:r>
        <w:t xml:space="preserve"> </w:t>
      </w:r>
      <w:r>
        <w:rPr>
          <w:iCs/>
          <w:i/>
        </w:rPr>
        <w:t xml:space="preserve">A. thaliana</w:t>
      </w:r>
      <w:r>
        <w:t xml:space="preserve">.</w:t>
      </w:r>
      <w:r>
        <w:t xml:space="preserve"> </w:t>
      </w: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[43]</w:t>
      </w:r>
      <w:r>
        <w:t xml:space="preserve">, reduced root length</w:t>
      </w:r>
      <w:r>
        <w:t xml:space="preserve"> </w:t>
      </w:r>
      <w:r>
        <w:t xml:space="preserve">[44]</w:t>
      </w:r>
      <w:r>
        <w:t xml:space="preserve">, and the reduction of pollen number</w:t>
      </w:r>
      <w:r>
        <w:t xml:space="preserve"> </w:t>
      </w:r>
      <w:r>
        <w:t xml:space="preserve">[17,45]</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Because delayed growth and flowering phenotypes are mutually non-exclusive in the ribosomal gene mutant, the relative importance of size or flowering in preventing aphid colonization remains difficult to separate.</w:t>
      </w:r>
      <w:r>
        <w:t xml:space="preserve"> </w:t>
      </w:r>
      <w:r>
        <w:t xml:space="preserve">Still, our findings suggest potential roles of the ribosomal gene in plant-herbivore interactions through its alteration of plant apparency.</w:t>
      </w:r>
    </w:p>
    <w:p>
      <w:pPr>
        <w:pStyle w:val="BodyText"/>
      </w:pPr>
      <w:r>
        <w:t xml:space="preserve">We should note, however, that further study on natural variants responsible for the delayed growth and reduced aphid abundance would be necessary to validate its importance in the field.</w:t>
      </w:r>
      <w:r>
        <w:t xml:space="preserve"> </w:t>
      </w:r>
      <w:r>
        <w:t xml:space="preserve">Because linkage disequilibrium is common in the genome of</w:t>
      </w:r>
      <w:r>
        <w:t xml:space="preserve"> </w:t>
      </w:r>
      <w:r>
        <w:rPr>
          <w:iCs/>
          <w:i/>
        </w:rPr>
        <w:t xml:space="preserve">A. thaliana</w:t>
      </w:r>
      <w:r>
        <w:t xml:space="preserve"> </w:t>
      </w:r>
      <w:r>
        <w:t xml:space="preserve">[46]</w:t>
      </w:r>
      <w:r>
        <w:t xml:space="preserve">, genes nearby the top-scoring SNP are equally possible to be causal.</w:t>
      </w:r>
      <w:r>
        <w:t xml:space="preserve"> </w:t>
      </w:r>
      <w:r>
        <w:t xml:space="preserve">Multiple alleles on the AT3G13882 gene are thus needed to provide strong evidence of the delayed growth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[17,45]</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[17]</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natural alleles need to be created using genome editing technology and then exchanged between natural accessions by crossing</w:t>
      </w:r>
      <w:r>
        <w:t xml:space="preserve"> </w:t>
      </w:r>
      <w:r>
        <w:t xml:space="preserve">[17]</w:t>
      </w:r>
      <w:r>
        <w:t xml:space="preserve">.</w:t>
      </w:r>
      <w:r>
        <w:t xml:space="preserve"> </w:t>
      </w:r>
      <w:r>
        <w:t xml:space="preserve">Such quantitative complementation tests</w:t>
      </w:r>
      <w:r>
        <w:t xml:space="preserve"> </w:t>
      </w:r>
      <w:r>
        <w:t xml:space="preserve">[17,45]</w:t>
      </w:r>
      <w:r>
        <w:t xml:space="preserve"> </w:t>
      </w:r>
      <w:r>
        <w:t xml:space="preserve">will be needed to identify natural causal variants that alter aphid abundance through delayed growth.</w:t>
      </w:r>
    </w:p>
    <w:p>
      <w:pPr>
        <w:pStyle w:val="BodyText"/>
      </w:pPr>
      <w:r>
        <w:t xml:space="preserve">Discovery of flowering-associated loci is sometimes of main interests in GWAS, but this may also conceal direct genetic associations between a focal locus and other complex traits of interests</w:t>
      </w:r>
      <w:r>
        <w:t xml:space="preserve"> </w:t>
      </w:r>
      <w:r>
        <w:t xml:space="preserve">[47,48]</w:t>
      </w:r>
      <w:r>
        <w:t xml:space="preserve">.</w:t>
      </w:r>
      <w:r>
        <w:t xml:space="preserve"> </w:t>
      </w:r>
      <w:r>
        <w:t xml:space="preserve">Our GWAS of aphid abundance unexpectedly led us to detect a significant rare variant that was also partially associated with the bolting.</w:t>
      </w:r>
      <w:r>
        <w:t xml:space="preserve"> </w:t>
      </w:r>
      <w:r>
        <w:t xml:space="preserve">By correcting the plant size and flowering time as confounding factors, we were able to detect substantial contributions of plant apparency to aphid abundance.</w:t>
      </w:r>
      <w:r>
        <w:t xml:space="preserve"> </w:t>
      </w:r>
      <w:r>
        <w:t xml:space="preserve">This finding does not indicate the irrelevance of chemical and physical defense traits to herbivore colonization.</w:t>
      </w:r>
      <w:r>
        <w:t xml:space="preserve"> </w:t>
      </w:r>
      <w:r>
        <w:t xml:space="preserve">Although our top-scoring SNP did not match known GWAS peaks of glucosinolates</w:t>
      </w:r>
      <w:r>
        <w:t xml:space="preserve"> </w:t>
      </w:r>
      <w:r>
        <w:t xml:space="preserve">[49]</w:t>
      </w:r>
      <w:r>
        <w:t xml:space="preserve">, it was still possible that secondary metabolites and volatile-mediated defense signaling co-vary across plant ontogeny at phenotype levels.</w:t>
      </w:r>
      <w:r>
        <w:t xml:space="preserve"> </w:t>
      </w:r>
      <w:r>
        <w:t xml:space="preserve">Such time-varying effects of plant traits on aphid colonization is difficult to evaluate using the short-lived annual</w:t>
      </w:r>
      <w:r>
        <w:t xml:space="preserve"> </w:t>
      </w:r>
      <w:r>
        <w:rPr>
          <w:iCs/>
          <w:i/>
        </w:rPr>
        <w:t xml:space="preserve">A. thaliana</w:t>
      </w:r>
      <w:r>
        <w:t xml:space="preserve">.</w:t>
      </w:r>
      <w:r>
        <w:t xml:space="preserve"> </w:t>
      </w:r>
      <w:r>
        <w:t xml:space="preserve">Further studies on long-lived plants besides the identification of natural causal variants would be needed to verify long-term impacts of a single plant gene on herbivory.</w:t>
      </w:r>
    </w:p>
    <w:p>
      <w:pPr>
        <w:pStyle w:val="BodyText"/>
      </w:pPr>
      <w:r>
        <w:t xml:space="preserve">Overall, our study suggests the potential importance of genetically based plant apparency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[15]</w:t>
      </w:r>
      <w:r>
        <w:t xml:space="preserve">.</w:t>
      </w:r>
      <w:r>
        <w:t xml:space="preserve"> </w:t>
      </w:r>
      <w:r>
        <w:t xml:space="preserve">These lines of studies suggest that plant genetic variation governs herbivore abundance and communities</w:t>
      </w:r>
      <w:r>
        <w:t xml:space="preserve"> </w:t>
      </w:r>
      <w:r>
        <w:t xml:space="preserve">[4,12,13,15]</w:t>
      </w:r>
      <w:r>
        <w:t xml:space="preserve">, but a keystone gene shaping the ecological communities was not identified until recently</w:t>
      </w:r>
      <w:r>
        <w:t xml:space="preserve"> </w:t>
      </w:r>
      <w:r>
        <w:t xml:space="preserve">[38]</w:t>
      </w:r>
      <w:r>
        <w:t xml:space="preserve">.</w:t>
      </w:r>
      <w:r>
        <w:t xml:space="preserve"> </w:t>
      </w:r>
      <w:r>
        <w:t xml:space="preserve">Barbour et al.</w:t>
      </w:r>
      <w:r>
        <w:t xml:space="preserve"> </w:t>
      </w:r>
      <w:r>
        <w:t xml:space="preserve">[38]</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[50,51]</w:t>
      </w:r>
      <w:r>
        <w:t xml:space="preserve">, future studies may reveal cascading effects of delayed plant growth on food webs.</w:t>
      </w:r>
    </w:p>
    <w:bookmarkEnd w:id="42"/>
    <w:bookmarkStart w:id="45" w:name="data-availability"/>
    <w:p>
      <w:pPr>
        <w:pStyle w:val="Heading1"/>
      </w:pPr>
      <w:r>
        <w:t xml:space="preserve">Data availability</w:t>
      </w:r>
    </w:p>
    <w:p>
      <w:pPr>
        <w:pStyle w:val="FirstParagraph"/>
      </w:pPr>
      <w:r>
        <w:t xml:space="preserve">The data and codes are available at the GitHub repository (</w:t>
      </w:r>
      <w:hyperlink r:id="rId43">
        <w:r>
          <w:rPr>
            <w:rStyle w:val="Hyperlink"/>
          </w:rPr>
          <w:t xml:space="preserve">https://github.com/yassato/AraAphidGWAS</w:t>
        </w:r>
      </w:hyperlink>
      <w:r>
        <w:t xml:space="preserve">) and its published version is deposited on Dryad (</w:t>
      </w:r>
      <w:hyperlink r:id="rId44">
        <w:r>
          <w:rPr>
            <w:rStyle w:val="Hyperlink"/>
          </w:rPr>
          <w:t xml:space="preserve">doi::xxxxxx</w:t>
        </w:r>
      </w:hyperlink>
      <w:r>
        <w:t xml:space="preserve">).</w:t>
      </w:r>
    </w:p>
    <w:bookmarkEnd w:id="45"/>
    <w:bookmarkStart w:id="46" w:name="authors-contributions"/>
    <w:p>
      <w:pPr>
        <w:pStyle w:val="Heading1"/>
      </w:pPr>
      <w:r>
        <w:t xml:space="preserve">Authors’ contributions</w:t>
      </w:r>
    </w:p>
    <w:p>
      <w:pPr>
        <w:pStyle w:val="FirstParagraph"/>
      </w:pPr>
      <w:r>
        <w:t xml:space="preserve">C.X.: laboratory investigation, project administration, data curation, draft writing, review and editing; Y.S.: conceptualization, funding acquisition, project administration, supervision, field investigation, data curation, formal analysis, draft writing, review and editing; M.Y.: laboratory investigation, methodology (molecular), project administration, review and editing; M.B.: laboratory investigation, methodology (molecular); M.A.B: resources (insects), review and editing; J.B.: conceptualization, funding acquisition, supervision, review and editing; K.K.S.: conceptualization, funding acquisition, project administration, supervision, draft writing, review and editing.</w:t>
      </w:r>
    </w:p>
    <w:bookmarkEnd w:id="46"/>
    <w:bookmarkStart w:id="47" w:name="competing-interests"/>
    <w:p>
      <w:pPr>
        <w:pStyle w:val="Heading1"/>
      </w:pPr>
      <w:r>
        <w:t xml:space="preserve">Competing interests</w:t>
      </w:r>
    </w:p>
    <w:p>
      <w:pPr>
        <w:pStyle w:val="FirstParagraph"/>
      </w:pPr>
      <w:r>
        <w:t xml:space="preserve">The authors declare no conflicts of interests concerning this study.</w:t>
      </w:r>
    </w:p>
    <w:bookmarkEnd w:id="47"/>
    <w:bookmarkStart w:id="48"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R. Hostettler for assistance with the molecular experiments.</w:t>
      </w:r>
    </w:p>
    <w:bookmarkEnd w:id="48"/>
    <w:bookmarkStart w:id="49"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Swiss National Science Foundation grant (31003A_182318 to K.K.S.); Japan Science and Technology Agency (Grant numbers JPMJCR16O3 to K.K.S. and JPMJPR17Q4 to Y.S.); and Japan Society for the Promotion of Science, Grant-in-Aid for Transformative Research Areas (22H05179 to K.K.S.).</w:t>
      </w:r>
    </w:p>
    <w:bookmarkEnd w:id="49"/>
    <w:bookmarkStart w:id="58" w:name="figures"/>
    <w:p>
      <w:pPr>
        <w:pStyle w:val="Heading1"/>
      </w:pPr>
      <w:r>
        <w:t xml:space="preserve">Figures</w:t>
      </w:r>
    </w:p>
    <w:p>
      <w:pPr>
        <w:pStyle w:val="CaptionedFigure"/>
      </w:pPr>
      <w:bookmarkStart w:id="53" w:name="fig:ManPlot"/>
      <w:r>
        <w:drawing>
          <wp:inline>
            <wp:extent cx="5334000" cy="5844988"/>
            <wp:effectExtent b="0" l="0" r="0" t="0"/>
            <wp:docPr descr="Figure 1. Genome-wide association study of aphid abundance on 196 Arabidopsis thaliana accessions grown in the field. (a) A genomic region within ca. 5 kbp from the top-scoring SNP at Chr3-4579292 displays the position of candidate genes. Only the longest splice variant (black horizontal arrow) is shown for each gene. (b-d) Manhattan plots show the association score of -log10(p) for the aphid abundance (b), the presence of bolting (c), and the residuals of aphid abundance corrected by the bolting (d) across five chromosomes of A. thaliana with MAF cut-off at 0.025. A horizontal dashed line indicates the genome-wide Bonferroni threshold at p=0.05. A vertical red line highlights the position of Chr3-4579292." title="" id="51" name="Picture"/>
            <a:graphic>
              <a:graphicData uri="http://schemas.openxmlformats.org/drawingml/2006/picture">
                <pic:pic>
                  <pic:nvPicPr>
                    <pic:cNvPr descr="../figures/fig1_comb.pdf" id="52" name="Picture"/>
                    <pic:cNvPicPr>
                      <a:picLocks noChangeArrowheads="1" noChangeAspect="1"/>
                    </pic:cNvPicPr>
                  </pic:nvPicPr>
                  <pic:blipFill>
                    <a:blip r:embed="rId50"/>
                    <a:stretch>
                      <a:fillRect/>
                    </a:stretch>
                  </pic:blipFill>
                  <pic:spPr bwMode="auto">
                    <a:xfrm>
                      <a:off x="0" y="0"/>
                      <a:ext cx="5334000" cy="5844988"/>
                    </a:xfrm>
                    <a:prstGeom prst="rect">
                      <a:avLst/>
                    </a:prstGeom>
                    <a:noFill/>
                    <a:ln w="9525">
                      <a:noFill/>
                      <a:headEnd/>
                      <a:tailEnd/>
                    </a:ln>
                  </pic:spPr>
                </pic:pic>
              </a:graphicData>
            </a:graphic>
          </wp:inline>
        </w:drawing>
      </w:r>
      <w:bookmarkEnd w:id="53"/>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within ca. 5 kbp from the top-scoring SNP at Chr3-4579292 displays the position of candidate genes. Only the longest splice variant (black horizontal arrow) is shown for each gene. (b-d) Manhattan plots show the association score of -log</w:t>
      </w:r>
      <w:r>
        <w:rPr>
          <w:vertAlign w:val="subscript"/>
        </w:rPr>
        <w:t xml:space="preserve">10</w:t>
      </w:r>
      <w:r>
        <w:t xml:space="preserve">(</w:t>
      </w:r>
      <m:oMath>
        <m:r>
          <m:t>p</m:t>
        </m:r>
      </m:oMath>
      <w:r>
        <w:t xml:space="preserve">) for the aphid abundance (b), the presence of bolting (c), and the residuals of aphid abundance corrected by the bolting (d)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 A vertical red line highlights the position of Chr3-4579292.</w:t>
      </w:r>
    </w:p>
    <w:p>
      <w:pPr>
        <w:pStyle w:val="CaptionedFigure"/>
      </w:pPr>
      <w:bookmarkStart w:id="57"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5" name="Picture"/>
            <a:graphic>
              <a:graphicData uri="http://schemas.openxmlformats.org/drawingml/2006/picture">
                <pic:pic>
                  <pic:nvPicPr>
                    <pic:cNvPr descr="../figures/mutant.jpg" id="56" name="Picture"/>
                    <pic:cNvPicPr>
                      <a:picLocks noChangeArrowheads="1" noChangeAspect="1"/>
                    </pic:cNvPicPr>
                  </pic:nvPicPr>
                  <pic:blipFill>
                    <a:blip r:embed="rId54"/>
                    <a:stretch>
                      <a:fillRect/>
                    </a:stretch>
                  </pic:blipFill>
                  <pic:spPr bwMode="auto">
                    <a:xfrm>
                      <a:off x="0" y="0"/>
                      <a:ext cx="5334000" cy="2000249"/>
                    </a:xfrm>
                    <a:prstGeom prst="rect">
                      <a:avLst/>
                    </a:prstGeom>
                    <a:noFill/>
                    <a:ln w="9525">
                      <a:noFill/>
                      <a:headEnd/>
                      <a:tailEnd/>
                    </a:ln>
                  </pic:spPr>
                </pic:pic>
              </a:graphicData>
            </a:graphic>
          </wp:inline>
        </w:drawing>
      </w:r>
      <w:bookmarkEnd w:id="57"/>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8"/>
    <w:bookmarkStart w:id="84" w:name="supplementary-materials"/>
    <w:p>
      <w:pPr>
        <w:pStyle w:val="Heading1"/>
      </w:pPr>
      <w:r>
        <w:t xml:space="preserve">Supplementary Materials</w:t>
      </w:r>
    </w:p>
    <w:p>
      <w:pPr>
        <w:pStyle w:val="CaptionedFigure"/>
      </w:pPr>
      <w:bookmarkStart w:id="62"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itle="" id="60" name="Picture"/>
            <a:graphic>
              <a:graphicData uri="http://schemas.openxmlformats.org/drawingml/2006/picture">
                <pic:pic>
                  <pic:nvPicPr>
                    <pic:cNvPr descr="../figures/AT3G13882.pdf" id="61" name="Picture"/>
                    <pic:cNvPicPr>
                      <a:picLocks noChangeArrowheads="1" noChangeAspect="1"/>
                    </pic:cNvPicPr>
                  </pic:nvPicPr>
                  <pic:blipFill>
                    <a:blip r:embed="rId59"/>
                    <a:stretch>
                      <a:fillRect/>
                    </a:stretch>
                  </pic:blipFill>
                  <pic:spPr bwMode="auto">
                    <a:xfrm>
                      <a:off x="0" y="0"/>
                      <a:ext cx="5334000" cy="980623"/>
                    </a:xfrm>
                    <a:prstGeom prst="rect">
                      <a:avLst/>
                    </a:prstGeom>
                    <a:noFill/>
                    <a:ln w="9525">
                      <a:noFill/>
                      <a:headEnd/>
                      <a:tailEnd/>
                    </a:ln>
                  </pic:spPr>
                </pic:pic>
              </a:graphicData>
            </a:graphic>
          </wp:inline>
        </w:drawing>
      </w:r>
      <w:bookmarkEnd w:id="62"/>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w:t>
      </w:r>
    </w:p>
    <w:p>
      <w:pPr>
        <w:pStyle w:val="CaptionedFigure"/>
      </w:pPr>
      <w:bookmarkStart w:id="66" w:name="fig:sqRT_PCR"/>
      <w:r>
        <w:drawing>
          <wp:inline>
            <wp:extent cx="3810000" cy="2540000"/>
            <wp:effectExtent b="0" l="0" r="0" t="0"/>
            <wp:docPr descr="Figure S2. Semi-quantitative reverse transcription and polymerase chain reaction (sqRT-PCR) of the ribosomal gene mutant mutant AT3G13882 (SALK_039481). Two primer sets A-D were used for AT3G13882; and E for an internal control gene ETL1 (see Table S4 for the primer information). This figure shows that the gene expression of AT3G13882 is suppressed in the mutant line SALK_039481." title="" id="64" name="Picture"/>
            <a:graphic>
              <a:graphicData uri="http://schemas.openxmlformats.org/drawingml/2006/picture">
                <pic:pic>
                  <pic:nvPicPr>
                    <pic:cNvPr descr="../figures/FigS_gel_annotation.tiff"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bookmarkEnd w:id="66"/>
    </w:p>
    <w:p>
      <w:pPr>
        <w:pStyle w:val="ImageCaption"/>
      </w:pPr>
      <w:r>
        <w:t xml:space="preserve">Figure S2. Semi-quantitative reverse transcription and polymerase chain reaction (sqRT-PCR) of the ribosomal gene mutant mutant AT3G13882 (SALK_039481).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70"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8" name="Picture"/>
            <a:graphic>
              <a:graphicData uri="http://schemas.openxmlformats.org/drawingml/2006/picture">
                <pic:pic>
                  <pic:nvPicPr>
                    <pic:cNvPr descr="../figures/aphid_No_per_day.png" id="69" name="Picture"/>
                    <pic:cNvPicPr>
                      <a:picLocks noChangeArrowheads="1" noChangeAspect="1"/>
                    </pic:cNvPicPr>
                  </pic:nvPicPr>
                  <pic:blipFill>
                    <a:blip r:embed="rId67"/>
                    <a:stretch>
                      <a:fillRect/>
                    </a:stretch>
                  </pic:blipFill>
                  <pic:spPr bwMode="auto">
                    <a:xfrm>
                      <a:off x="0" y="0"/>
                      <a:ext cx="5334000" cy="3619149"/>
                    </a:xfrm>
                    <a:prstGeom prst="rect">
                      <a:avLst/>
                    </a:prstGeom>
                    <a:noFill/>
                    <a:ln w="9525">
                      <a:noFill/>
                      <a:headEnd/>
                      <a:tailEnd/>
                    </a:ln>
                  </pic:spPr>
                </pic:pic>
              </a:graphicData>
            </a:graphic>
          </wp:inline>
        </w:drawing>
      </w:r>
      <w:bookmarkEnd w:id="70"/>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4" w:name="fig:qqplot"/>
      <w:r>
        <w:drawing>
          <wp:inline>
            <wp:extent cx="5334000" cy="10668000"/>
            <wp:effectExtent b="0" l="0" r="0" t="0"/>
            <wp:docPr descr="Figure S4. A quantile-quantile (QQ) plot showing relationships between the observed and expected association score of -log10(p) for the aphid abundance (a), the presence of bolting (b), and the residuals of aphid abundance corrected by the bolting (c). A red solid line indicates randomly expected association scores abd the shaded area corresponds to its 95% confidence intervals. The top figure shows that the top-scoring SNP at Chr3-4579292 is larger than the upper 95% confidence interval." title="" id="72" name="Picture"/>
            <a:graphic>
              <a:graphicData uri="http://schemas.openxmlformats.org/drawingml/2006/picture">
                <pic:pic>
                  <pic:nvPicPr>
                    <pic:cNvPr descr="../figures/supp_QQ.png" id="73" name="Picture"/>
                    <pic:cNvPicPr>
                      <a:picLocks noChangeArrowheads="1" noChangeAspect="1"/>
                    </pic:cNvPicPr>
                  </pic:nvPicPr>
                  <pic:blipFill>
                    <a:blip r:embed="rId71"/>
                    <a:stretch>
                      <a:fillRect/>
                    </a:stretch>
                  </pic:blipFill>
                  <pic:spPr bwMode="auto">
                    <a:xfrm>
                      <a:off x="0" y="0"/>
                      <a:ext cx="5334000" cy="10668000"/>
                    </a:xfrm>
                    <a:prstGeom prst="rect">
                      <a:avLst/>
                    </a:prstGeom>
                    <a:noFill/>
                    <a:ln w="9525">
                      <a:noFill/>
                      <a:headEnd/>
                      <a:tailEnd/>
                    </a:ln>
                  </pic:spPr>
                </pic:pic>
              </a:graphicData>
            </a:graphic>
          </wp:inline>
        </w:drawing>
      </w:r>
      <w:bookmarkEnd w:id="74"/>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for the aphid abundance (a), the presence of bolting (b), and the residuals of aphid abundance corrected by the bolting (c). A red solid line indicates randomly expected association scores abd the shaded area corresponds to its 95% confidence intervals. The top figure shows that the top-scoring SNP at Chr3-4579292 is larger than the upper 95% confidence interval.</w:t>
      </w:r>
    </w:p>
    <w:p>
      <w:pPr>
        <w:pStyle w:val="CaptionedFigure"/>
      </w:pPr>
      <w:bookmarkStart w:id="78" w:name="fig:database"/>
      <w:r>
        <w:drawing>
          <wp:inline>
            <wp:extent cx="5334000" cy="4700174"/>
            <wp:effectExtent b="0" l="0" r="0" t="0"/>
            <wp:docPr descr="Figure S5. Phenotype values (a) and amino acid sequences (b) focusing on the rare variant at Chr3-4579292. (a) The aphid abundance i.e., log(no. of aphids) between major and rare SNP alleles at Chr3-4579292. Bars indicates medians of the aphid abundance. (b) A comparison of amino acid sequences near Chr3-4579292 among accessions carrying rare or major alleles. Four accessions above the Col-0 sequence show those of the rare allele (highlighted by red squares), while accessions below the Col-0 show those of the lowest phenotypic values (highlited by blue squares). The panel (a) and (b) is depicted using the GWA-portal (https://gwas.gmi.oeaw.ac.at/) and 1001 Genome Browser (http://signal.salk.edu/atg1001/3.0/gebrowser.php), respectively." title="" id="76" name="Picture"/>
            <a:graphic>
              <a:graphicData uri="http://schemas.openxmlformats.org/drawingml/2006/picture">
                <pic:pic>
                  <pic:nvPicPr>
                    <pic:cNvPr descr="../figures/database_snapshot.png" id="77" name="Picture"/>
                    <pic:cNvPicPr>
                      <a:picLocks noChangeArrowheads="1" noChangeAspect="1"/>
                    </pic:cNvPicPr>
                  </pic:nvPicPr>
                  <pic:blipFill>
                    <a:blip r:embed="rId75"/>
                    <a:stretch>
                      <a:fillRect/>
                    </a:stretch>
                  </pic:blipFill>
                  <pic:spPr bwMode="auto">
                    <a:xfrm>
                      <a:off x="0" y="0"/>
                      <a:ext cx="5334000" cy="4700174"/>
                    </a:xfrm>
                    <a:prstGeom prst="rect">
                      <a:avLst/>
                    </a:prstGeom>
                    <a:noFill/>
                    <a:ln w="9525">
                      <a:noFill/>
                      <a:headEnd/>
                      <a:tailEnd/>
                    </a:ln>
                  </pic:spPr>
                </pic:pic>
              </a:graphicData>
            </a:graphic>
          </wp:inline>
        </w:drawing>
      </w:r>
      <w:bookmarkEnd w:id="78"/>
    </w:p>
    <w:p>
      <w:pPr>
        <w:pStyle w:val="ImageCaption"/>
      </w:pPr>
      <w:r>
        <w:t xml:space="preserve">Figure S5. Phenotype values (a) and amino acid sequences (b) focusing on the rare variant at Chr3-4579292. (a) The aphid abundance i.e., log(no. of aphids) between major and rare SNP alleles at Chr3-4579292. Bars indicates medians of the aphid abundance. (b) A comparison of amino acid sequences near Chr3-4579292 among accessions carrying rare or major alleles. Four accessions above the Col-0 sequence show those of the rare allele (highlighted by red squares), while accessions below the Col-0 show those of the lowest phenotypic values (highlited by blue squares). The panel (a) and (b) is depicted using the GWA-portal (</w:t>
      </w:r>
      <w:hyperlink r:id="rId79">
        <w:r>
          <w:rPr>
            <w:rStyle w:val="Hyperlink"/>
          </w:rPr>
          <w:t xml:space="preserve">https://gwas.gmi.oeaw.ac.at/</w:t>
        </w:r>
      </w:hyperlink>
      <w:r>
        <w:t xml:space="preserve">) and 1001 Genome Browser (</w:t>
      </w:r>
      <w:hyperlink r:id="rId28">
        <w:r>
          <w:rPr>
            <w:rStyle w:val="Hyperlink"/>
          </w:rPr>
          <w:t xml:space="preserve">http://signal.salk.edu/atg1001/3.0/gebrowser.php</w:t>
        </w:r>
      </w:hyperlink>
      <w:r>
        <w:t xml:space="preserve">), respectively.</w:t>
      </w:r>
    </w:p>
    <w:p>
      <w:pPr>
        <w:pStyle w:val="CaptionedFigure"/>
      </w:pPr>
      <w:bookmarkStart w:id="83" w:name="fig:aphid_last"/>
      <w:r>
        <w:drawing>
          <wp:inline>
            <wp:extent cx="5334000" cy="2667000"/>
            <wp:effectExtent b="0" l="0" r="0" t="0"/>
            <wp:docPr descr="Figure S6.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title="" id="81" name="Picture"/>
            <a:graphic>
              <a:graphicData uri="http://schemas.openxmlformats.org/drawingml/2006/picture">
                <pic:pic>
                  <pic:nvPicPr>
                    <pic:cNvPr descr="../figures/aphid_last.pdf"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bookmarkEnd w:id="83"/>
    </w:p>
    <w:p>
      <w:pPr>
        <w:pStyle w:val="ImageCaption"/>
      </w:pPr>
      <w:r>
        <w:t xml:space="preserve">Figure S6.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p>
      <w:pPr>
        <w:pStyle w:val="BodyText"/>
      </w:pPr>
      <w:r>
        <w:t xml:space="preserve">Table S5. Analysis of deviance for GLMMs comparing the number of aphids between the mutant and wild type plants.</w:t>
      </w:r>
    </w:p>
    <w:bookmarkEnd w:id="84"/>
    <w:bookmarkStart w:id="151" w:name="references"/>
    <w:p>
      <w:pPr>
        <w:pStyle w:val="Heading1"/>
      </w:pPr>
      <w:r>
        <w:t xml:space="preserve">References</w:t>
      </w:r>
    </w:p>
    <w:bookmarkStart w:id="150" w:name="refs"/>
    <w:bookmarkStart w:id="85"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UK: Oxford University Press.</w:t>
      </w:r>
      <w:r>
        <w:t xml:space="preserve"> </w:t>
      </w:r>
    </w:p>
    <w:bookmarkEnd w:id="85"/>
    <w:bookmarkStart w:id="86"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86"/>
    <w:bookmarkStart w:id="88"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 (doi:</w:t>
      </w:r>
      <w:hyperlink r:id="rId87">
        <w:r>
          <w:rPr>
            <w:rStyle w:val="Hyperlink"/>
          </w:rPr>
          <w:t xml:space="preserve">10.7554/eLife.04490</w:t>
        </w:r>
      </w:hyperlink>
      <w:r>
        <w:t xml:space="preserve">)</w:t>
      </w:r>
    </w:p>
    <w:bookmarkEnd w:id="88"/>
    <w:bookmarkStart w:id="89"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9"/>
    <w:bookmarkStart w:id="90"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90"/>
    <w:bookmarkStart w:id="91"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91"/>
    <w:bookmarkStart w:id="92"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92"/>
    <w:bookmarkStart w:id="93" w:name="ref-higuchi2019leaf"/>
    <w:p>
      <w:pPr>
        <w:pStyle w:val="Bibliography"/>
      </w:pPr>
      <w:r>
        <w:t xml:space="preserve">8.</w:t>
      </w:r>
      <w:r>
        <w:t xml:space="preserve"> </w:t>
      </w:r>
      <w:r>
        <w:t xml:space="preserve">	</w:t>
      </w:r>
      <w:r>
        <w:t xml:space="preserve">Higuchi Y, Kawakita A. 2019 Leaf shape deters plant processing by an herbivorous weevil.</w:t>
      </w:r>
      <w:r>
        <w:t xml:space="preserve"> </w:t>
      </w:r>
      <w:r>
        <w:rPr>
          <w:iCs/>
          <w:i/>
        </w:rPr>
        <w:t xml:space="preserve">Nature Plants</w:t>
      </w:r>
      <w:r>
        <w:t xml:space="preserve"> </w:t>
      </w:r>
      <w:r>
        <w:rPr>
          <w:bCs/>
          <w:b/>
        </w:rPr>
        <w:t xml:space="preserve">5</w:t>
      </w:r>
      <w:r>
        <w:t xml:space="preserve">, 959–964.</w:t>
      </w:r>
    </w:p>
    <w:bookmarkEnd w:id="93"/>
    <w:bookmarkStart w:id="95"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94">
        <w:r>
          <w:rPr>
            <w:rStyle w:val="Hyperlink"/>
          </w:rPr>
          <w:t xml:space="preserve">10.1007/978-1-4684-2646-5_1</w:t>
        </w:r>
      </w:hyperlink>
      <w:r>
        <w:t xml:space="preserve">)</w:t>
      </w:r>
    </w:p>
    <w:bookmarkEnd w:id="95"/>
    <w:bookmarkStart w:id="96" w:name="ref-kawagoe2010escape"/>
    <w:p>
      <w:pPr>
        <w:pStyle w:val="Bibliography"/>
      </w:pPr>
      <w:r>
        <w:t xml:space="preserve">10.</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96"/>
    <w:bookmarkStart w:id="97" w:name="ref-marquis2021escape"/>
    <w:p>
      <w:pPr>
        <w:pStyle w:val="Bibliography"/>
      </w:pPr>
      <w:r>
        <w:t xml:space="preserve">11.</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97"/>
    <w:bookmarkStart w:id="98" w:name="ref-johnson2009heritability"/>
    <w:p>
      <w:pPr>
        <w:pStyle w:val="Bibliography"/>
      </w:pPr>
      <w:r>
        <w:t xml:space="preserve">12.</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98"/>
    <w:bookmarkStart w:id="99" w:name="ref-barbour2015multiple"/>
    <w:p>
      <w:pPr>
        <w:pStyle w:val="Bibliography"/>
      </w:pPr>
      <w:r>
        <w:t xml:space="preserve">13.</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9"/>
    <w:bookmarkStart w:id="100" w:name="ref-santure2018wild"/>
    <w:p>
      <w:pPr>
        <w:pStyle w:val="Bibliography"/>
      </w:pPr>
      <w:r>
        <w:t xml:space="preserve">14.</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100"/>
    <w:bookmarkStart w:id="101" w:name="ref-barker2019linking"/>
    <w:p>
      <w:pPr>
        <w:pStyle w:val="Bibliography"/>
      </w:pPr>
      <w:r>
        <w:t xml:space="preserve">15.</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101"/>
    <w:bookmarkStart w:id="102" w:name="ref-fujii2019stigmatic"/>
    <w:p>
      <w:pPr>
        <w:pStyle w:val="Bibliography"/>
      </w:pPr>
      <w:r>
        <w:t xml:space="preserve">16.</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102"/>
    <w:bookmarkStart w:id="104" w:name="ref-tsuchimatsu2020adaptive"/>
    <w:p>
      <w:pPr>
        <w:pStyle w:val="Bibliography"/>
      </w:pPr>
      <w:r>
        <w:t xml:space="preserve">17.</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2885. (doi:</w:t>
      </w:r>
      <w:hyperlink r:id="rId103">
        <w:r>
          <w:rPr>
            <w:rStyle w:val="Hyperlink"/>
          </w:rPr>
          <w:t xml:space="preserve">10.1038/s41467-020-16679-7</w:t>
        </w:r>
      </w:hyperlink>
      <w:r>
        <w:t xml:space="preserve">)</w:t>
      </w:r>
    </w:p>
    <w:bookmarkEnd w:id="104"/>
    <w:bookmarkStart w:id="105" w:name="ref-honjo2020seasonality"/>
    <w:p>
      <w:pPr>
        <w:pStyle w:val="Bibliography"/>
      </w:pPr>
      <w:r>
        <w:t xml:space="preserve">18.</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105"/>
    <w:bookmarkStart w:id="107" w:name="ref-sato2019transcriptional"/>
    <w:p>
      <w:pPr>
        <w:pStyle w:val="Bibliography"/>
      </w:pPr>
      <w:r>
        <w:t xml:space="preserve">19.</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w:t>
      </w:r>
      <w:r>
        <w:rPr>
          <w:bCs/>
          <w:b/>
        </w:rPr>
        <w:t xml:space="preserve">10</w:t>
      </w:r>
      <w:r>
        <w:t xml:space="preserve">, 787. (doi:</w:t>
      </w:r>
      <w:hyperlink r:id="rId106">
        <w:r>
          <w:rPr>
            <w:rStyle w:val="Hyperlink"/>
          </w:rPr>
          <w:t xml:space="preserve">10.3389/fgene.2019.00787</w:t>
        </w:r>
      </w:hyperlink>
      <w:r>
        <w:t xml:space="preserve">)</w:t>
      </w:r>
    </w:p>
    <w:bookmarkEnd w:id="107"/>
    <w:bookmarkStart w:id="108" w:name="ref-shimizu2011plant"/>
    <w:p>
      <w:pPr>
        <w:pStyle w:val="Bibliography"/>
      </w:pPr>
      <w:r>
        <w:t xml:space="preserve">20.</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108"/>
    <w:bookmarkStart w:id="109" w:name="ref-kudoh2016molecular"/>
    <w:p>
      <w:pPr>
        <w:pStyle w:val="Bibliography"/>
      </w:pPr>
      <w:r>
        <w:t xml:space="preserve">21.</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109"/>
    <w:bookmarkStart w:id="110" w:name="ref-yamasaki2017genomics"/>
    <w:p>
      <w:pPr>
        <w:pStyle w:val="Bibliography"/>
      </w:pPr>
      <w:r>
        <w:t xml:space="preserve">22.</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110"/>
    <w:bookmarkStart w:id="111" w:name="ref-zaidem2019evolutionary"/>
    <w:p>
      <w:pPr>
        <w:pStyle w:val="Bibliography"/>
      </w:pPr>
      <w:r>
        <w:t xml:space="preserve">23.</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11"/>
    <w:bookmarkStart w:id="113" w:name="ref-stockenhuber2021uv"/>
    <w:p>
      <w:pPr>
        <w:pStyle w:val="Bibliography"/>
      </w:pPr>
      <w:r>
        <w:t xml:space="preserve">24.</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12">
        <w:r>
          <w:rPr>
            <w:rStyle w:val="Hyperlink"/>
          </w:rPr>
          <w:t xml:space="preserve">10.1101/2021.12.08.471623</w:t>
        </w:r>
      </w:hyperlink>
      <w:r>
        <w:t xml:space="preserve">)</w:t>
      </w:r>
    </w:p>
    <w:bookmarkEnd w:id="113"/>
    <w:bookmarkStart w:id="114" w:name="ref-thompson1994spatiotemporal"/>
    <w:p>
      <w:pPr>
        <w:pStyle w:val="Bibliography"/>
      </w:pPr>
      <w:r>
        <w:t xml:space="preserve">25.</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w:t>
      </w:r>
      <w:r>
        <w:rPr>
          <w:bCs/>
          <w:b/>
        </w:rPr>
        <w:t xml:space="preserve">82</w:t>
      </w:r>
      <w:r>
        <w:t xml:space="preserve">, 63–68.</w:t>
      </w:r>
    </w:p>
    <w:bookmarkEnd w:id="114"/>
    <w:bookmarkStart w:id="115" w:name="ref-taylor2017interacting"/>
    <w:p>
      <w:pPr>
        <w:pStyle w:val="Bibliography"/>
      </w:pPr>
      <w:r>
        <w:t xml:space="preserve">26.</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15"/>
    <w:bookmarkStart w:id="116" w:name="ref-mosleh2009herbivory"/>
    <w:p>
      <w:pPr>
        <w:pStyle w:val="Bibliography"/>
      </w:pPr>
      <w:r>
        <w:t xml:space="preserve">27.</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16"/>
    <w:bookmarkStart w:id="117" w:name="ref-zust2012natural"/>
    <w:p>
      <w:pPr>
        <w:pStyle w:val="Bibliography"/>
      </w:pPr>
      <w:r>
        <w:t xml:space="preserve">28.</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17"/>
    <w:bookmarkStart w:id="118" w:name="ref-sato2021neighbor"/>
    <w:p>
      <w:pPr>
        <w:pStyle w:val="Bibliography"/>
      </w:pPr>
      <w:r>
        <w:t xml:space="preserve">29.</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18"/>
    <w:bookmarkStart w:id="119" w:name="ref-horton2012genome"/>
    <w:p>
      <w:pPr>
        <w:pStyle w:val="Bibliography"/>
      </w:pPr>
      <w:r>
        <w:t xml:space="preserve">30.</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19"/>
    <w:bookmarkStart w:id="120" w:name="ref-alonso20161"/>
    <w:p>
      <w:pPr>
        <w:pStyle w:val="Bibliography"/>
      </w:pPr>
      <w:r>
        <w:t xml:space="preserve">31.</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20"/>
    <w:bookmarkStart w:id="122" w:name="ref-seren2018gwa"/>
    <w:p>
      <w:pPr>
        <w:pStyle w:val="Bibliography"/>
      </w:pPr>
      <w:r>
        <w:t xml:space="preserve">32.</w:t>
      </w:r>
      <w:r>
        <w:t xml:space="preserve"> </w:t>
      </w:r>
      <w:r>
        <w:t xml:space="preserve">	</w:t>
      </w:r>
      <w:r>
        <w:t xml:space="preserve">Seren U. 2018</w:t>
      </w:r>
      <w:r>
        <w:t xml:space="preserve"> </w:t>
      </w:r>
      <w:r>
        <w:t xml:space="preserve">GWA</w:t>
      </w:r>
      <w:r>
        <w:t xml:space="preserve">-</w:t>
      </w:r>
      <w:r>
        <w:t xml:space="preserve">P</w:t>
      </w:r>
      <w:r>
        <w:t xml:space="preserve">ortal:</w:t>
      </w:r>
      <w:r>
        <w:t xml:space="preserve"> </w:t>
      </w:r>
      <w:r>
        <w:t xml:space="preserve">Genome</w:t>
      </w:r>
      <w:r>
        <w:t xml:space="preserve">-wide association studies made easy. In</w:t>
      </w:r>
      <w:r>
        <w:t xml:space="preserve"> </w:t>
      </w:r>
      <w:r>
        <w:rPr>
          <w:iCs/>
          <w:i/>
        </w:rPr>
        <w:t xml:space="preserve">Root</w:t>
      </w:r>
      <w:r>
        <w:rPr>
          <w:iCs/>
          <w:i/>
        </w:rPr>
        <w:t xml:space="preserve"> </w:t>
      </w:r>
      <w:r>
        <w:rPr>
          <w:iCs/>
          <w:i/>
        </w:rPr>
        <w:t xml:space="preserve">Development</w:t>
      </w:r>
      <w:r>
        <w:t xml:space="preserve"> </w:t>
      </w:r>
      <w:r>
        <w:t xml:space="preserve">(eds D Ristova, E Barbez), pp. 303–319. New York, NY: Springer New York. (doi:</w:t>
      </w:r>
      <w:hyperlink r:id="rId121">
        <w:r>
          <w:rPr>
            <w:rStyle w:val="Hyperlink"/>
          </w:rPr>
          <w:t xml:space="preserve">10.1007/978-1-4939-7747-5_22</w:t>
        </w:r>
      </w:hyperlink>
      <w:r>
        <w:t xml:space="preserve">)</w:t>
      </w:r>
    </w:p>
    <w:bookmarkEnd w:id="122"/>
    <w:bookmarkStart w:id="124" w:name="ref-horton_genome-wide_2012"/>
    <w:p>
      <w:pPr>
        <w:pStyle w:val="Bibliography"/>
      </w:pPr>
      <w:r>
        <w:t xml:space="preserve">33.</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w:t>
      </w:r>
      <w:r>
        <w:t xml:space="preserve"> </w:t>
      </w:r>
      <w:r>
        <w:t xml:space="preserve">RegMap</w:t>
      </w:r>
      <w:r>
        <w:t xml:space="preserve"> </w:t>
      </w:r>
      <w:r>
        <w:t xml:space="preserve">panel.</w:t>
      </w:r>
      <w:r>
        <w:t xml:space="preserve"> </w:t>
      </w:r>
      <w:r>
        <w:rPr>
          <w:iCs/>
          <w:i/>
        </w:rPr>
        <w:t xml:space="preserve">Nature Genetics</w:t>
      </w:r>
      <w:r>
        <w:t xml:space="preserve"> </w:t>
      </w:r>
      <w:r>
        <w:rPr>
          <w:bCs/>
          <w:b/>
        </w:rPr>
        <w:t xml:space="preserve">44</w:t>
      </w:r>
      <w:r>
        <w:t xml:space="preserve">, 212–216. (doi:</w:t>
      </w:r>
      <w:hyperlink r:id="rId123">
        <w:r>
          <w:rPr>
            <w:rStyle w:val="Hyperlink"/>
          </w:rPr>
          <w:t xml:space="preserve">10.1038/ng.1042</w:t>
        </w:r>
      </w:hyperlink>
      <w:r>
        <w:t xml:space="preserve">)</w:t>
      </w:r>
    </w:p>
    <w:bookmarkEnd w:id="124"/>
    <w:bookmarkStart w:id="126" w:name="ref-alonso-blanco_1135_2016"/>
    <w:p>
      <w:pPr>
        <w:pStyle w:val="Bibliography"/>
      </w:pPr>
      <w:r>
        <w:t xml:space="preserve">34.</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 (doi:</w:t>
      </w:r>
      <w:hyperlink r:id="rId125">
        <w:r>
          <w:rPr>
            <w:rStyle w:val="Hyperlink"/>
          </w:rPr>
          <w:t xml:space="preserve">10.1016/j.cell.2016.05.063</w:t>
        </w:r>
      </w:hyperlink>
      <w:r>
        <w:t xml:space="preserve">)</w:t>
      </w:r>
    </w:p>
    <w:bookmarkEnd w:id="126"/>
    <w:bookmarkStart w:id="127" w:name="ref-klepikova2016high"/>
    <w:p>
      <w:pPr>
        <w:pStyle w:val="Bibliography"/>
      </w:pPr>
      <w:r>
        <w:t xml:space="preserve">35.</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27"/>
    <w:bookmarkStart w:id="129" w:name="ref-togninalli_aragwas_2018"/>
    <w:p>
      <w:pPr>
        <w:pStyle w:val="Bibliography"/>
      </w:pPr>
      <w:r>
        <w:t xml:space="preserve">36.</w:t>
      </w:r>
      <w:r>
        <w:t xml:space="preserve"> </w:t>
      </w:r>
      <w:r>
        <w:t xml:space="preserve">	</w:t>
      </w:r>
      <w:r>
        <w:t xml:space="preserve">Togninalli M, Seren Ü, Meng D, Fitz J, Nordborg M, Weigel D, Borgwardt K, Korte A, Grimm DG. 2018 The</w:t>
      </w:r>
      <w:r>
        <w:t xml:space="preserve"> </w:t>
      </w:r>
      <w:r>
        <w:t xml:space="preserve">AraGWAS</w:t>
      </w:r>
      <w:r>
        <w:t xml:space="preserve"> </w:t>
      </w:r>
      <w:r>
        <w:t xml:space="preserve">Catalog</w:t>
      </w:r>
      <w:r>
        <w:t xml:space="preserve">: A curated and standardized</w:t>
      </w:r>
      <w:r>
        <w:t xml:space="preserve"> </w:t>
      </w:r>
      <w:r>
        <w:rPr>
          <w:iCs/>
          <w:i/>
        </w:rPr>
        <w:t xml:space="preserve">A</w:t>
      </w:r>
      <w:r>
        <w:rPr>
          <w:iCs/>
          <w:i/>
        </w:rPr>
        <w:t xml:space="preserve">rabidopsis thaliana</w:t>
      </w:r>
      <w:r>
        <w:t xml:space="preserve"> </w:t>
      </w:r>
      <w:r>
        <w:t xml:space="preserve">GWAS</w:t>
      </w:r>
      <w:r>
        <w:t xml:space="preserve"> </w:t>
      </w:r>
      <w:r>
        <w:t xml:space="preserve">catalog.</w:t>
      </w:r>
      <w:r>
        <w:t xml:space="preserve"> </w:t>
      </w:r>
      <w:r>
        <w:rPr>
          <w:iCs/>
          <w:i/>
        </w:rPr>
        <w:t xml:space="preserve">Nucleic Acids Research</w:t>
      </w:r>
      <w:r>
        <w:t xml:space="preserve"> </w:t>
      </w:r>
      <w:r>
        <w:rPr>
          <w:bCs/>
          <w:b/>
        </w:rPr>
        <w:t xml:space="preserve">46</w:t>
      </w:r>
      <w:r>
        <w:t xml:space="preserve">, D1150–D1156. (doi:</w:t>
      </w:r>
      <w:hyperlink r:id="rId128">
        <w:r>
          <w:rPr>
            <w:rStyle w:val="Hyperlink"/>
          </w:rPr>
          <w:t xml:space="preserve">10.1093/nar/gkx954</w:t>
        </w:r>
      </w:hyperlink>
      <w:r>
        <w:t xml:space="preserve">)</w:t>
      </w:r>
    </w:p>
    <w:bookmarkEnd w:id="129"/>
    <w:bookmarkStart w:id="130" w:name="ref-o2015user"/>
    <w:p>
      <w:pPr>
        <w:pStyle w:val="Bibliography"/>
      </w:pPr>
      <w:r>
        <w:t xml:space="preserve">37.</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30"/>
    <w:bookmarkStart w:id="131" w:name="ref-barbour2022keystone"/>
    <w:p>
      <w:pPr>
        <w:pStyle w:val="Bibliography"/>
      </w:pPr>
      <w:r>
        <w:t xml:space="preserve">38.</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31"/>
    <w:bookmarkStart w:id="133" w:name="ref-Rcite"/>
    <w:p>
      <w:pPr>
        <w:pStyle w:val="Bibliography"/>
      </w:pPr>
      <w:r>
        <w:t xml:space="preserve">39.</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32">
        <w:r>
          <w:rPr>
            <w:rStyle w:val="Hyperlink"/>
          </w:rPr>
          <w:t xml:space="preserve">https://www.R-project.org/</w:t>
        </w:r>
      </w:hyperlink>
      <w:r>
        <w:t xml:space="preserve">.</w:t>
      </w:r>
    </w:p>
    <w:bookmarkEnd w:id="133"/>
    <w:bookmarkStart w:id="135" w:name="ref-lme4"/>
    <w:p>
      <w:pPr>
        <w:pStyle w:val="Bibliography"/>
      </w:pPr>
      <w:r>
        <w:t xml:space="preserve">40.</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34">
        <w:r>
          <w:rPr>
            <w:rStyle w:val="Hyperlink"/>
          </w:rPr>
          <w:t xml:space="preserve">10.18637/jss.v067.i01</w:t>
        </w:r>
      </w:hyperlink>
      <w:r>
        <w:t xml:space="preserve">)</w:t>
      </w:r>
    </w:p>
    <w:bookmarkEnd w:id="135"/>
    <w:bookmarkStart w:id="137" w:name="ref-aranzana_genome-wide_2005"/>
    <w:p>
      <w:pPr>
        <w:pStyle w:val="Bibliography"/>
      </w:pPr>
      <w:r>
        <w:t xml:space="preserve">41.</w:t>
      </w:r>
      <w:r>
        <w:t xml:space="preserve"> </w:t>
      </w:r>
      <w:r>
        <w:t xml:space="preserve">	</w:t>
      </w:r>
      <w:r>
        <w:t xml:space="preserve">Aranzana MJ</w:t>
      </w:r>
      <w:r>
        <w:t xml:space="preserve"> </w:t>
      </w:r>
      <w:r>
        <w:rPr>
          <w:iCs/>
          <w:i/>
        </w:rPr>
        <w:t xml:space="preserve">et al.</w:t>
      </w:r>
      <w:r>
        <w:t xml:space="preserve"> 2005 Genome-wide association mapping in</w:t>
      </w:r>
      <w:r>
        <w:t xml:space="preserve"> </w:t>
      </w:r>
      <w:r>
        <w:rPr>
          <w:iCs/>
          <w:i/>
        </w:rPr>
        <w:t xml:space="preserve">A</w:t>
      </w:r>
      <w:r>
        <w:rPr>
          <w:iCs/>
          <w:i/>
        </w:rPr>
        <w:t xml:space="preserve">rabidopsis</w:t>
      </w:r>
      <w:r>
        <w:t xml:space="preserve"> </w:t>
      </w:r>
      <w:r>
        <w:t xml:space="preserve">identifies previously known flowering time and pathogen resistance genes.</w:t>
      </w:r>
      <w:r>
        <w:t xml:space="preserve"> </w:t>
      </w:r>
      <w:r>
        <w:rPr>
          <w:iCs/>
          <w:i/>
        </w:rPr>
        <w:t xml:space="preserve">PLoS Genetics</w:t>
      </w:r>
      <w:r>
        <w:t xml:space="preserve"> </w:t>
      </w:r>
      <w:r>
        <w:rPr>
          <w:bCs/>
          <w:b/>
        </w:rPr>
        <w:t xml:space="preserve">1</w:t>
      </w:r>
      <w:r>
        <w:t xml:space="preserve">, e60. (doi:</w:t>
      </w:r>
      <w:hyperlink r:id="rId136">
        <w:r>
          <w:rPr>
            <w:rStyle w:val="Hyperlink"/>
          </w:rPr>
          <w:t xml:space="preserve">10.1371/journal.pgen.0010060</w:t>
        </w:r>
      </w:hyperlink>
      <w:r>
        <w:t xml:space="preserve">)</w:t>
      </w:r>
    </w:p>
    <w:bookmarkEnd w:id="137"/>
    <w:bookmarkStart w:id="138" w:name="ref-cheng2017araport11"/>
    <w:p>
      <w:pPr>
        <w:pStyle w:val="Bibliography"/>
      </w:pPr>
      <w:r>
        <w:t xml:space="preserve">42.</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38"/>
    <w:bookmarkStart w:id="139" w:name="ref-fujikura2009coordination"/>
    <w:p>
      <w:pPr>
        <w:pStyle w:val="Bibliography"/>
      </w:pPr>
      <w:r>
        <w:t xml:space="preserve">43.</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39"/>
    <w:bookmarkStart w:id="140" w:name="ref-creff2010two"/>
    <w:p>
      <w:pPr>
        <w:pStyle w:val="Bibliography"/>
      </w:pPr>
      <w:r>
        <w:t xml:space="preserve">44.</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40"/>
    <w:bookmarkStart w:id="142" w:name="ref-kakui2022pollen"/>
    <w:p>
      <w:pPr>
        <w:pStyle w:val="Bibliography"/>
      </w:pPr>
      <w:r>
        <w:t xml:space="preserve">45.</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w:t>
      </w:r>
      <w:r>
        <w:rPr>
          <w:bCs/>
          <w:b/>
        </w:rPr>
        <w:t xml:space="preserve">12</w:t>
      </w:r>
      <w:r>
        <w:t xml:space="preserve">, 3159. (doi:</w:t>
      </w:r>
      <w:hyperlink r:id="rId141">
        <w:r>
          <w:rPr>
            <w:rStyle w:val="Hyperlink"/>
          </w:rPr>
          <w:t xml:space="preserve">10.3389/fpls.2021.768584</w:t>
        </w:r>
      </w:hyperlink>
      <w:r>
        <w:t xml:space="preserve">)</w:t>
      </w:r>
    </w:p>
    <w:bookmarkEnd w:id="142"/>
    <w:bookmarkStart w:id="144" w:name="ref-nordborg_extent_2002"/>
    <w:p>
      <w:pPr>
        <w:pStyle w:val="Bibliography"/>
      </w:pPr>
      <w:r>
        <w:t xml:space="preserve">46.</w:t>
      </w:r>
      <w:r>
        <w:t xml:space="preserve"> </w:t>
      </w:r>
      <w:r>
        <w:t xml:space="preserve">	</w:t>
      </w:r>
      <w:r>
        <w:t xml:space="preserve">Nordborg M</w:t>
      </w:r>
      <w:r>
        <w:t xml:space="preserve"> </w:t>
      </w:r>
      <w:r>
        <w:rPr>
          <w:iCs/>
          <w:i/>
        </w:rPr>
        <w:t xml:space="preserve">et al.</w:t>
      </w:r>
      <w:r>
        <w:t xml:space="preserve"> 2002 The extent of linkage disequilibrium in</w:t>
      </w:r>
      <w:r>
        <w:t xml:space="preserve"> </w:t>
      </w:r>
      <w:r>
        <w:rPr>
          <w:iCs/>
          <w:i/>
        </w:rPr>
        <w:t xml:space="preserve">A</w:t>
      </w:r>
      <w:r>
        <w:rPr>
          <w:iCs/>
          <w:i/>
        </w:rPr>
        <w:t xml:space="preserve">rabidopsis thaliana</w:t>
      </w:r>
      <w:r>
        <w:t xml:space="preserve">.</w:t>
      </w:r>
      <w:r>
        <w:t xml:space="preserve"> </w:t>
      </w:r>
      <w:r>
        <w:rPr>
          <w:iCs/>
          <w:i/>
        </w:rPr>
        <w:t xml:space="preserve">Nature Genetics</w:t>
      </w:r>
      <w:r>
        <w:t xml:space="preserve"> </w:t>
      </w:r>
      <w:r>
        <w:rPr>
          <w:bCs/>
          <w:b/>
        </w:rPr>
        <w:t xml:space="preserve">30</w:t>
      </w:r>
      <w:r>
        <w:t xml:space="preserve">, 190–193. (doi:</w:t>
      </w:r>
      <w:hyperlink r:id="rId143">
        <w:r>
          <w:rPr>
            <w:rStyle w:val="Hyperlink"/>
          </w:rPr>
          <w:t xml:space="preserve">10.1038/ng813</w:t>
        </w:r>
      </w:hyperlink>
      <w:r>
        <w:t xml:space="preserve">)</w:t>
      </w:r>
    </w:p>
    <w:bookmarkEnd w:id="144"/>
    <w:bookmarkStart w:id="145" w:name="ref-hori2012variation"/>
    <w:p>
      <w:pPr>
        <w:pStyle w:val="Bibliography"/>
      </w:pPr>
      <w:r>
        <w:t xml:space="preserve">47.</w:t>
      </w:r>
      <w:r>
        <w:t xml:space="preserve"> </w:t>
      </w:r>
      <w:r>
        <w:t xml:space="preserve">	</w:t>
      </w:r>
      <w:r>
        <w:t xml:space="preserve">Hori K, Kataoka T, Miura K, Yamaguchi M, Saka N, Nakahara T, Sunohara Y, Ebana K, Yano M. 2012 Variation in heading date conceals quantitative trait loci for other traits of importance in breeding selection of rice.</w:t>
      </w:r>
      <w:r>
        <w:t xml:space="preserve"> </w:t>
      </w:r>
      <w:r>
        <w:rPr>
          <w:iCs/>
          <w:i/>
        </w:rPr>
        <w:t xml:space="preserve">Breeding science</w:t>
      </w:r>
      <w:r>
        <w:t xml:space="preserve"> </w:t>
      </w:r>
      <w:r>
        <w:rPr>
          <w:bCs/>
          <w:b/>
        </w:rPr>
        <w:t xml:space="preserve">62</w:t>
      </w:r>
      <w:r>
        <w:t xml:space="preserve">, 223–234.</w:t>
      </w:r>
    </w:p>
    <w:bookmarkEnd w:id="145"/>
    <w:bookmarkStart w:id="146" w:name="ref-onogi2016uncovering"/>
    <w:p>
      <w:pPr>
        <w:pStyle w:val="Bibliography"/>
      </w:pPr>
      <w:r>
        <w:t xml:space="preserve">48.</w:t>
      </w:r>
      <w:r>
        <w:t xml:space="preserve"> </w:t>
      </w:r>
      <w:r>
        <w:t xml:space="preserve">	</w:t>
      </w:r>
      <w:r>
        <w:t xml:space="preserve">Onogi A, Ideta O, Yoshioka T, Ebana K, Yamasaki M, Iwata H. 2016 Uncovering a nuisance influence of a phenological trait of plants using a nonlinear structural equation: Application to days to heading and culm length in asian cultivated rice (</w:t>
      </w:r>
      <w:r>
        <w:rPr>
          <w:iCs/>
          <w:i/>
        </w:rPr>
        <w:t xml:space="preserve">O</w:t>
      </w:r>
      <w:r>
        <w:rPr>
          <w:iCs/>
          <w:i/>
        </w:rPr>
        <w:t xml:space="preserve">ryza sativa</w:t>
      </w:r>
      <w:r>
        <w:t xml:space="preserve"> </w:t>
      </w:r>
      <w:r>
        <w:t xml:space="preserve">L</w:t>
      </w:r>
      <w:r>
        <w:t xml:space="preserve">.).</w:t>
      </w:r>
      <w:r>
        <w:t xml:space="preserve"> </w:t>
      </w:r>
      <w:r>
        <w:rPr>
          <w:iCs/>
          <w:i/>
        </w:rPr>
        <w:t xml:space="preserve">PLoS One</w:t>
      </w:r>
      <w:r>
        <w:t xml:space="preserve"> </w:t>
      </w:r>
      <w:r>
        <w:rPr>
          <w:bCs/>
          <w:b/>
        </w:rPr>
        <w:t xml:space="preserve">11</w:t>
      </w:r>
      <w:r>
        <w:t xml:space="preserve">, e0148609.</w:t>
      </w:r>
    </w:p>
    <w:bookmarkEnd w:id="146"/>
    <w:bookmarkStart w:id="147" w:name="ref-brachi2015coselected"/>
    <w:p>
      <w:pPr>
        <w:pStyle w:val="Bibliography"/>
      </w:pPr>
      <w:r>
        <w:t xml:space="preserve">49.</w:t>
      </w:r>
      <w:r>
        <w:t xml:space="preserve"> </w:t>
      </w:r>
      <w:r>
        <w:t xml:space="preserve">	</w:t>
      </w:r>
      <w:r>
        <w:t xml:space="preserve">Brachi B, Meyer CG, Villoutreix R, Platt A, Morton TC, Roux F, Bergelson J. 2015 Coselected genes determine adaptive variation in herbivore resistance throughout the native range of</w:t>
      </w:r>
      <w:r>
        <w:t xml:space="preserve"> </w:t>
      </w:r>
      <w:r>
        <w:rPr>
          <w:iCs/>
          <w:i/>
        </w:rPr>
        <w:t xml:space="preserve">A</w:t>
      </w:r>
      <w:r>
        <w:rPr>
          <w:iCs/>
          <w:i/>
        </w:rPr>
        <w:t xml:space="preserve">rabidopsis thaliana</w:t>
      </w:r>
      <w:r>
        <w:t xml:space="preserve">.</w:t>
      </w:r>
      <w:r>
        <w:t xml:space="preserve"> </w:t>
      </w:r>
      <w:r>
        <w:rPr>
          <w:iCs/>
          <w:i/>
        </w:rPr>
        <w:t xml:space="preserve">Proceedings of the National Academy of Sciences USA</w:t>
      </w:r>
      <w:r>
        <w:t xml:space="preserve"> </w:t>
      </w:r>
      <w:r>
        <w:rPr>
          <w:bCs/>
          <w:b/>
        </w:rPr>
        <w:t xml:space="preserve">112</w:t>
      </w:r>
      <w:r>
        <w:t xml:space="preserve">, 4032–4037.</w:t>
      </w:r>
    </w:p>
    <w:bookmarkEnd w:id="147"/>
    <w:bookmarkStart w:id="148" w:name="ref-dixon1977aphid"/>
    <w:p>
      <w:pPr>
        <w:pStyle w:val="Bibliography"/>
      </w:pPr>
      <w:r>
        <w:t xml:space="preserve">50.</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48"/>
    <w:bookmarkStart w:id="149" w:name="ref-snyder2003interactions"/>
    <w:p>
      <w:pPr>
        <w:pStyle w:val="Bibliography"/>
      </w:pPr>
      <w:r>
        <w:t xml:space="preserve">51.</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df" /><Relationship Type="http://schemas.openxmlformats.org/officeDocument/2006/relationships/image" Id="rId63" Target="media/rId63.tiff" /><Relationship Type="http://schemas.openxmlformats.org/officeDocument/2006/relationships/image" Id="rId67" Target="media/rId67.png" /><Relationship Type="http://schemas.openxmlformats.org/officeDocument/2006/relationships/image" Id="rId80" Target="media/rId80.pdf" /><Relationship Type="http://schemas.openxmlformats.org/officeDocument/2006/relationships/image" Id="rId75" Target="media/rId75.png" /><Relationship Type="http://schemas.openxmlformats.org/officeDocument/2006/relationships/image" Id="rId50" Target="media/rId50.pdf" /><Relationship Type="http://schemas.openxmlformats.org/officeDocument/2006/relationships/image" Id="rId54" Target="media/rId54.jpg" /><Relationship Type="http://schemas.openxmlformats.org/officeDocument/2006/relationships/image" Id="rId71" Target="media/rId71.png" /><Relationship Type="http://schemas.openxmlformats.org/officeDocument/2006/relationships/hyperlink" Id="rId44" Target="doi::xxxxxx" TargetMode="External" /><Relationship Type="http://schemas.openxmlformats.org/officeDocument/2006/relationships/hyperlink" Id="rId28" Target="http://signal.salk.edu/atg1001/3.0/gebrowser.php" TargetMode="External" /><Relationship Type="http://schemas.openxmlformats.org/officeDocument/2006/relationships/hyperlink" Id="rId24" Target="https://abrc.osu.edu/" TargetMode="External" /><Relationship Type="http://schemas.openxmlformats.org/officeDocument/2006/relationships/hyperlink" Id="rId33" Target="https://arabidopsis.info/" TargetMode="External" /><Relationship Type="http://schemas.openxmlformats.org/officeDocument/2006/relationships/hyperlink" Id="rId30" Target="https://aragwas.1001genomes.org/#/map" TargetMode="External" /><Relationship Type="http://schemas.openxmlformats.org/officeDocument/2006/relationships/hyperlink" Id="rId94" Target="https://doi.org/10.1007/978-1-4684-2646-5_1" TargetMode="External" /><Relationship Type="http://schemas.openxmlformats.org/officeDocument/2006/relationships/hyperlink" Id="rId121" Target="https://doi.org/10.1007/978-1-4939-7747-5_22" TargetMode="External" /><Relationship Type="http://schemas.openxmlformats.org/officeDocument/2006/relationships/hyperlink" Id="rId125" Target="https://doi.org/10.1016/j.cell.2016.05.063" TargetMode="External" /><Relationship Type="http://schemas.openxmlformats.org/officeDocument/2006/relationships/hyperlink" Id="rId123" Target="https://doi.org/10.1038/ng.1042" TargetMode="External" /><Relationship Type="http://schemas.openxmlformats.org/officeDocument/2006/relationships/hyperlink" Id="rId143" Target="https://doi.org/10.1038/ng813" TargetMode="External" /><Relationship Type="http://schemas.openxmlformats.org/officeDocument/2006/relationships/hyperlink" Id="rId103" Target="https://doi.org/10.1038/s41467-020-16679-7" TargetMode="External" /><Relationship Type="http://schemas.openxmlformats.org/officeDocument/2006/relationships/hyperlink" Id="rId128" Target="https://doi.org/10.1093/nar/gkx954" TargetMode="External" /><Relationship Type="http://schemas.openxmlformats.org/officeDocument/2006/relationships/hyperlink" Id="rId112" Target="https://doi.org/10.1101/2021.12.08.471623" TargetMode="External" /><Relationship Type="http://schemas.openxmlformats.org/officeDocument/2006/relationships/hyperlink" Id="rId136" Target="https://doi.org/10.1371/journal.pgen.0010060" TargetMode="External" /><Relationship Type="http://schemas.openxmlformats.org/officeDocument/2006/relationships/hyperlink" Id="rId134" Target="https://doi.org/10.18637/jss.v067.i01" TargetMode="External" /><Relationship Type="http://schemas.openxmlformats.org/officeDocument/2006/relationships/hyperlink" Id="rId106" Target="https://doi.org/10.3389/fgene.2019.00787" TargetMode="External" /><Relationship Type="http://schemas.openxmlformats.org/officeDocument/2006/relationships/hyperlink" Id="rId141" Target="https://doi.org/10.3389/fpls.2021.768584" TargetMode="External" /><Relationship Type="http://schemas.openxmlformats.org/officeDocument/2006/relationships/hyperlink" Id="rId87" Target="https://doi.org/10.7554/eLife.04490" TargetMode="External" /><Relationship Type="http://schemas.openxmlformats.org/officeDocument/2006/relationships/hyperlink" Id="rId43"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79" Target="https://gwas.gmi.oeaw.ac.at/" TargetMode="External" /><Relationship Type="http://schemas.openxmlformats.org/officeDocument/2006/relationships/hyperlink" Id="rId132" Target="https://www.R-project.org/" TargetMode="External" /><Relationship Type="http://schemas.openxmlformats.org/officeDocument/2006/relationships/hyperlink" Id="rId29"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4" Target="doi::xxxxxx" TargetMode="External" /><Relationship Type="http://schemas.openxmlformats.org/officeDocument/2006/relationships/hyperlink" Id="rId28" Target="http://signal.salk.edu/atg1001/3.0/gebrowser.php" TargetMode="External" /><Relationship Type="http://schemas.openxmlformats.org/officeDocument/2006/relationships/hyperlink" Id="rId24" Target="https://abrc.osu.edu/" TargetMode="External" /><Relationship Type="http://schemas.openxmlformats.org/officeDocument/2006/relationships/hyperlink" Id="rId33" Target="https://arabidopsis.info/" TargetMode="External" /><Relationship Type="http://schemas.openxmlformats.org/officeDocument/2006/relationships/hyperlink" Id="rId30" Target="https://aragwas.1001genomes.org/#/map" TargetMode="External" /><Relationship Type="http://schemas.openxmlformats.org/officeDocument/2006/relationships/hyperlink" Id="rId94" Target="https://doi.org/10.1007/978-1-4684-2646-5_1" TargetMode="External" /><Relationship Type="http://schemas.openxmlformats.org/officeDocument/2006/relationships/hyperlink" Id="rId121" Target="https://doi.org/10.1007/978-1-4939-7747-5_22" TargetMode="External" /><Relationship Type="http://schemas.openxmlformats.org/officeDocument/2006/relationships/hyperlink" Id="rId125" Target="https://doi.org/10.1016/j.cell.2016.05.063" TargetMode="External" /><Relationship Type="http://schemas.openxmlformats.org/officeDocument/2006/relationships/hyperlink" Id="rId123" Target="https://doi.org/10.1038/ng.1042" TargetMode="External" /><Relationship Type="http://schemas.openxmlformats.org/officeDocument/2006/relationships/hyperlink" Id="rId143" Target="https://doi.org/10.1038/ng813" TargetMode="External" /><Relationship Type="http://schemas.openxmlformats.org/officeDocument/2006/relationships/hyperlink" Id="rId103" Target="https://doi.org/10.1038/s41467-020-16679-7" TargetMode="External" /><Relationship Type="http://schemas.openxmlformats.org/officeDocument/2006/relationships/hyperlink" Id="rId128" Target="https://doi.org/10.1093/nar/gkx954" TargetMode="External" /><Relationship Type="http://schemas.openxmlformats.org/officeDocument/2006/relationships/hyperlink" Id="rId112" Target="https://doi.org/10.1101/2021.12.08.471623" TargetMode="External" /><Relationship Type="http://schemas.openxmlformats.org/officeDocument/2006/relationships/hyperlink" Id="rId136" Target="https://doi.org/10.1371/journal.pgen.0010060" TargetMode="External" /><Relationship Type="http://schemas.openxmlformats.org/officeDocument/2006/relationships/hyperlink" Id="rId134" Target="https://doi.org/10.18637/jss.v067.i01" TargetMode="External" /><Relationship Type="http://schemas.openxmlformats.org/officeDocument/2006/relationships/hyperlink" Id="rId106" Target="https://doi.org/10.3389/fgene.2019.00787" TargetMode="External" /><Relationship Type="http://schemas.openxmlformats.org/officeDocument/2006/relationships/hyperlink" Id="rId141" Target="https://doi.org/10.3389/fpls.2021.768584" TargetMode="External" /><Relationship Type="http://schemas.openxmlformats.org/officeDocument/2006/relationships/hyperlink" Id="rId87" Target="https://doi.org/10.7554/eLife.04490" TargetMode="External" /><Relationship Type="http://schemas.openxmlformats.org/officeDocument/2006/relationships/hyperlink" Id="rId43"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79" Target="https://gwas.gmi.oeaw.ac.at/" TargetMode="External" /><Relationship Type="http://schemas.openxmlformats.org/officeDocument/2006/relationships/hyperlink" Id="rId132" Target="https://www.R-project.org/" TargetMode="External" /><Relationship Type="http://schemas.openxmlformats.org/officeDocument/2006/relationships/hyperlink" Id="rId29"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potential effects of plant apparency on the initial colonization of aphids in Arabidopsis thaliana</dc:title>
  <dc:creator/>
  <cp:keywords/>
  <dcterms:created xsi:type="dcterms:W3CDTF">2023-03-07T17:21:07Z</dcterms:created>
  <dcterms:modified xsi:type="dcterms:W3CDTF">2023-03-07T17:21:07Z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